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800" w:rsidRPr="00680206" w:rsidRDefault="00D65F5F" w:rsidP="00680206">
      <w:pPr>
        <w:pStyle w:val="Ttulo"/>
        <w:rPr>
          <w:lang w:eastAsia="es-ES"/>
        </w:rPr>
      </w:pPr>
      <w:r>
        <w:rPr>
          <w:lang w:eastAsia="es-ES"/>
        </w:rPr>
        <w:t>Tema 22</w:t>
      </w:r>
    </w:p>
    <w:p w:rsidR="00D65F5F" w:rsidRDefault="00D65F5F" w:rsidP="00D65F5F">
      <w:pPr>
        <w:rPr>
          <w:lang w:eastAsia="es-ES"/>
        </w:rPr>
      </w:pPr>
      <w:r w:rsidRPr="00D65F5F">
        <w:rPr>
          <w:lang w:eastAsia="es-ES"/>
        </w:rPr>
        <w:t>El Impuesto sobre Sociedades (I): Naturaleza y ámbito de aplicación. Hecho imponible. Contribuyentes. Exenciones plenas y parciales. Base imponible. Concepto y regímenes de determinación. Imputación temporal de ingresos y gastos</w:t>
      </w:r>
      <w:r>
        <w:rPr>
          <w:lang w:eastAsia="es-ES"/>
        </w:rPr>
        <w:t>.</w:t>
      </w:r>
      <w:r w:rsidR="00680206">
        <w:rPr>
          <w:lang w:eastAsia="es-ES"/>
        </w:rPr>
        <w:t xml:space="preserve"> </w:t>
      </w:r>
      <w:r w:rsidR="00761FA4">
        <w:rPr>
          <w:lang w:eastAsia="es-ES"/>
        </w:rPr>
        <w:t>Limitación a la deducibilidad de gatos y gastos no deducibles; reglas de valoración. Exención para eliminar</w:t>
      </w:r>
      <w:r w:rsidR="00680206">
        <w:rPr>
          <w:lang w:eastAsia="es-ES"/>
        </w:rPr>
        <w:t xml:space="preserve"> l</w:t>
      </w:r>
      <w:r w:rsidR="00761FA4">
        <w:rPr>
          <w:lang w:eastAsia="es-ES"/>
        </w:rPr>
        <w:t>a doble imposición. Reducciones en la base imponible y compensación de bases imponibles negativas.</w:t>
      </w:r>
    </w:p>
    <w:p w:rsidR="00D65F5F" w:rsidRPr="00D65F5F" w:rsidRDefault="00D65F5F" w:rsidP="00D65F5F">
      <w:pPr>
        <w:pStyle w:val="Prrafodelista"/>
        <w:numPr>
          <w:ilvl w:val="0"/>
          <w:numId w:val="1"/>
        </w:numPr>
        <w:rPr>
          <w:lang w:eastAsia="es-ES"/>
        </w:rPr>
      </w:pPr>
      <w:r>
        <w:rPr>
          <w:lang w:eastAsia="es-ES"/>
        </w:rPr>
        <w:t>EL IMPUESTO SOBRE SOCIEDADES</w:t>
      </w:r>
    </w:p>
    <w:p w:rsidR="009F539F" w:rsidRDefault="00B61EBD">
      <w:r>
        <w:t xml:space="preserve">El Impuesto sobre Sociedades (IS) se regula en la Ley 27/2014 del Impuesto sobre Sociedades (LIS). También se regula en el Reglamento del Impuesto sobre Sociedades </w:t>
      </w:r>
      <w:r w:rsidR="001F3FB8">
        <w:t xml:space="preserve">RD </w:t>
      </w:r>
      <w:r>
        <w:t>634/2015 (RIS).</w:t>
      </w:r>
    </w:p>
    <w:p w:rsidR="00B61EBD" w:rsidRDefault="00B61EBD" w:rsidP="00B61EBD">
      <w:pPr>
        <w:pStyle w:val="Prrafodelista"/>
        <w:numPr>
          <w:ilvl w:val="0"/>
          <w:numId w:val="1"/>
        </w:numPr>
      </w:pPr>
      <w:r>
        <w:t>CONCEPTO, NATURALEZA Y ÁMBITO DE APLICACIÓN (ART 1,2, Y 3 LIS)</w:t>
      </w:r>
    </w:p>
    <w:p w:rsidR="00B61EBD" w:rsidRDefault="00B61EBD" w:rsidP="00B61EBD">
      <w:r>
        <w:t>Es un tributo directo y personal que grava la renta de las sociedades y demás entidades jurídicas.</w:t>
      </w:r>
      <w:r w:rsidR="002D088E">
        <w:t xml:space="preserve"> </w:t>
      </w:r>
      <w:r>
        <w:t>Se aplicar</w:t>
      </w:r>
      <w:r w:rsidR="001F3FB8">
        <w:t>á en todo el territorio español sin perjuicio del convenio navarro, el concierto vasco y lo dispuesto en los tratados y convenios internacionales.</w:t>
      </w:r>
    </w:p>
    <w:p w:rsidR="00B61EBD" w:rsidRDefault="00B61EBD" w:rsidP="00B61EBD">
      <w:pPr>
        <w:pStyle w:val="Prrafodelista"/>
        <w:numPr>
          <w:ilvl w:val="0"/>
          <w:numId w:val="1"/>
        </w:numPr>
      </w:pPr>
      <w:r>
        <w:t>EL HECHO IMPONIBLE (ART 4 LIS)</w:t>
      </w:r>
    </w:p>
    <w:p w:rsidR="00B61EBD" w:rsidRDefault="00B61EBD" w:rsidP="00B61EBD">
      <w:r>
        <w:t xml:space="preserve">Constituirá el hecho imponible, la obtención de renta por el contribuyente, cualquiera fuere su fuente u origen. </w:t>
      </w:r>
    </w:p>
    <w:p w:rsidR="00B61EBD" w:rsidRDefault="00B61EBD" w:rsidP="00B61EBD">
      <w:r>
        <w:t>Para las agrupa</w:t>
      </w:r>
      <w:r w:rsidR="001F3FB8">
        <w:t>ciones de interés económico y</w:t>
      </w:r>
      <w:r>
        <w:t xml:space="preserve"> uniones temporales de empresas, se entenderá por obtención de renta la imputación al contribuyente de las bases imponib</w:t>
      </w:r>
      <w:r w:rsidR="001F3FB8">
        <w:t>les o gastos que procedan.</w:t>
      </w:r>
    </w:p>
    <w:p w:rsidR="00B61EBD" w:rsidRDefault="00B61EBD" w:rsidP="00B61EBD">
      <w:r>
        <w:t xml:space="preserve">El artículo 5 de la LIS incorpora el concepto de actividad económica, entendiendo por ella la ordenación por cuenta propia de los medios de producción y/o </w:t>
      </w:r>
      <w:r w:rsidR="002D088E">
        <w:t>recursos</w:t>
      </w:r>
      <w:r>
        <w:t xml:space="preserve"> humanos con la finalidad de </w:t>
      </w:r>
      <w:r w:rsidR="002D088E">
        <w:t>intervenir</w:t>
      </w:r>
      <w:r>
        <w:t xml:space="preserve"> en la producción o </w:t>
      </w:r>
      <w:r w:rsidR="002D088E">
        <w:t>distribución</w:t>
      </w:r>
      <w:r>
        <w:t xml:space="preserve"> de bienes y servicios.</w:t>
      </w:r>
      <w:r w:rsidR="007933BC">
        <w:t xml:space="preserve"> También</w:t>
      </w:r>
      <w:r>
        <w:t xml:space="preserve"> introduce el concepto de entidad patrimonial</w:t>
      </w:r>
      <w:r w:rsidR="001F3FB8">
        <w:t xml:space="preserve"> q</w:t>
      </w:r>
      <w:r w:rsidR="007933BC">
        <w:t xml:space="preserve">ue son sociedades cuya actividad principal </w:t>
      </w:r>
      <w:r w:rsidR="002D088E">
        <w:t>consiste</w:t>
      </w:r>
      <w:r w:rsidR="007933BC">
        <w:t xml:space="preserve"> en la gestión de un patri</w:t>
      </w:r>
      <w:r w:rsidR="001F3FB8">
        <w:t>monio mobiliario o inmobiliario. Se definen como aquellas en las que más de la mitad de su activo está constituido por valores o no está afecto a actividad económica.</w:t>
      </w:r>
    </w:p>
    <w:p w:rsidR="007933BC" w:rsidRDefault="007933BC" w:rsidP="00B61EBD">
      <w:r>
        <w:t>El artículo 6 de la LIS establece que las rentas de las sociedades civiles y demás entidades del artículo 35.4 de la Ley General Tributaria se atribuirán a los socios, herederos. Las entidades en régimen de atribución de rentas no tributarán por el IS.</w:t>
      </w:r>
    </w:p>
    <w:p w:rsidR="007933BC" w:rsidRDefault="007933BC" w:rsidP="00B61EBD">
      <w:r>
        <w:t>El IS somete a gravamen no solo la renta real, en ocasiones, grava a l</w:t>
      </w:r>
      <w:r w:rsidR="00407991">
        <w:t>as rentas presuntas:</w:t>
      </w:r>
    </w:p>
    <w:p w:rsidR="00407991" w:rsidRDefault="00407991" w:rsidP="00407991">
      <w:pPr>
        <w:pStyle w:val="Prrafodelista"/>
        <w:numPr>
          <w:ilvl w:val="0"/>
          <w:numId w:val="32"/>
        </w:numPr>
      </w:pPr>
      <w:r>
        <w:t>Presunción de obtención de rentas por descubrimiento de elementos ocultos no registrados en los libros de contabilidad.</w:t>
      </w:r>
    </w:p>
    <w:p w:rsidR="00407991" w:rsidRDefault="00407991" w:rsidP="00407991">
      <w:pPr>
        <w:pStyle w:val="Prrafodelista"/>
        <w:numPr>
          <w:ilvl w:val="0"/>
          <w:numId w:val="32"/>
        </w:numPr>
      </w:pPr>
      <w:r>
        <w:t>Presunción de onerosidad en estimación indirecta por la que las cesiones de bienes, derechos y prestaciones de servicios se presumen retribuidas por su valor de mercado.</w:t>
      </w:r>
    </w:p>
    <w:p w:rsidR="007933BC" w:rsidRDefault="007933BC" w:rsidP="007933BC">
      <w:pPr>
        <w:pStyle w:val="Prrafodelista"/>
        <w:numPr>
          <w:ilvl w:val="0"/>
          <w:numId w:val="1"/>
        </w:numPr>
      </w:pPr>
      <w:r>
        <w:t>CONTRIBUYENTE</w:t>
      </w:r>
    </w:p>
    <w:p w:rsidR="007933BC" w:rsidRDefault="007933BC" w:rsidP="007933BC">
      <w:pPr>
        <w:pStyle w:val="Prrafodelista"/>
        <w:numPr>
          <w:ilvl w:val="1"/>
          <w:numId w:val="1"/>
        </w:numPr>
      </w:pPr>
      <w:r>
        <w:t>CONCEPTO (ART 7)</w:t>
      </w:r>
    </w:p>
    <w:p w:rsidR="007933BC" w:rsidRDefault="007933BC" w:rsidP="007933BC">
      <w:r>
        <w:t>Serán contribuyentes:</w:t>
      </w:r>
    </w:p>
    <w:p w:rsidR="007933BC" w:rsidRDefault="007933BC" w:rsidP="007933BC">
      <w:pPr>
        <w:pStyle w:val="Prrafodelista"/>
        <w:numPr>
          <w:ilvl w:val="0"/>
          <w:numId w:val="2"/>
        </w:numPr>
      </w:pPr>
      <w:r>
        <w:t xml:space="preserve">Las personas jurídicas (excluidas las </w:t>
      </w:r>
      <w:r w:rsidR="00407991">
        <w:t xml:space="preserve">sociedades </w:t>
      </w:r>
      <w:r>
        <w:t>civiles sin objeto mercantil)</w:t>
      </w:r>
      <w:r w:rsidR="002D088E">
        <w:t>.</w:t>
      </w:r>
    </w:p>
    <w:p w:rsidR="007933BC" w:rsidRDefault="007933BC" w:rsidP="007933BC">
      <w:pPr>
        <w:pStyle w:val="Prrafodelista"/>
        <w:numPr>
          <w:ilvl w:val="0"/>
          <w:numId w:val="2"/>
        </w:numPr>
      </w:pPr>
      <w:r>
        <w:t>Las sociedades agrarias de transformación</w:t>
      </w:r>
      <w:r w:rsidR="002D088E">
        <w:t>.</w:t>
      </w:r>
    </w:p>
    <w:p w:rsidR="00407991" w:rsidRDefault="00407991" w:rsidP="007933BC">
      <w:pPr>
        <w:pStyle w:val="Prrafodelista"/>
        <w:numPr>
          <w:ilvl w:val="0"/>
          <w:numId w:val="2"/>
        </w:numPr>
      </w:pPr>
      <w:r>
        <w:t>Fondos de Inversión</w:t>
      </w:r>
    </w:p>
    <w:p w:rsidR="00407991" w:rsidRDefault="00407991" w:rsidP="007933BC">
      <w:pPr>
        <w:pStyle w:val="Prrafodelista"/>
        <w:numPr>
          <w:ilvl w:val="0"/>
          <w:numId w:val="2"/>
        </w:numPr>
      </w:pPr>
      <w:r>
        <w:t>Fondos de capital riesgo</w:t>
      </w:r>
    </w:p>
    <w:p w:rsidR="00407991" w:rsidRDefault="00407991" w:rsidP="007933BC">
      <w:pPr>
        <w:pStyle w:val="Prrafodelista"/>
        <w:numPr>
          <w:ilvl w:val="0"/>
          <w:numId w:val="2"/>
        </w:numPr>
      </w:pPr>
      <w:r>
        <w:t>UTES</w:t>
      </w:r>
    </w:p>
    <w:p w:rsidR="007933BC" w:rsidRDefault="007933BC" w:rsidP="00407991">
      <w:pPr>
        <w:pStyle w:val="Prrafodelista"/>
        <w:numPr>
          <w:ilvl w:val="0"/>
          <w:numId w:val="2"/>
        </w:numPr>
      </w:pPr>
      <w:r>
        <w:t>Fondos de pensiones</w:t>
      </w:r>
      <w:r w:rsidR="002D088E">
        <w:t>.</w:t>
      </w:r>
    </w:p>
    <w:p w:rsidR="007933BC" w:rsidRDefault="007933BC" w:rsidP="007933BC">
      <w:pPr>
        <w:pStyle w:val="Prrafodelista"/>
        <w:numPr>
          <w:ilvl w:val="0"/>
          <w:numId w:val="2"/>
        </w:numPr>
      </w:pPr>
      <w:r>
        <w:lastRenderedPageBreak/>
        <w:t>Fondos de regulación del mercado hipotecario</w:t>
      </w:r>
      <w:r w:rsidR="002D088E">
        <w:t>.</w:t>
      </w:r>
    </w:p>
    <w:p w:rsidR="007933BC" w:rsidRDefault="002D088E" w:rsidP="007933BC">
      <w:pPr>
        <w:pStyle w:val="Prrafodelista"/>
        <w:numPr>
          <w:ilvl w:val="0"/>
          <w:numId w:val="2"/>
        </w:numPr>
      </w:pPr>
      <w:r>
        <w:t>Fondos</w:t>
      </w:r>
      <w:r w:rsidR="007933BC">
        <w:t xml:space="preserve"> de titulización</w:t>
      </w:r>
      <w:r>
        <w:t>.</w:t>
      </w:r>
    </w:p>
    <w:p w:rsidR="007933BC" w:rsidRDefault="007933BC" w:rsidP="007933BC">
      <w:pPr>
        <w:pStyle w:val="Prrafodelista"/>
        <w:numPr>
          <w:ilvl w:val="0"/>
          <w:numId w:val="2"/>
        </w:numPr>
      </w:pPr>
      <w:r>
        <w:t>Fondos de titulización de activos</w:t>
      </w:r>
      <w:r w:rsidR="002D088E">
        <w:t>.</w:t>
      </w:r>
    </w:p>
    <w:p w:rsidR="007933BC" w:rsidRDefault="007933BC" w:rsidP="007933BC">
      <w:pPr>
        <w:pStyle w:val="Prrafodelista"/>
        <w:numPr>
          <w:ilvl w:val="0"/>
          <w:numId w:val="2"/>
        </w:numPr>
      </w:pPr>
      <w:r>
        <w:t>Fondos de garantía de inversiones</w:t>
      </w:r>
      <w:r w:rsidR="002D088E">
        <w:t>.</w:t>
      </w:r>
    </w:p>
    <w:p w:rsidR="007933BC" w:rsidRDefault="007933BC" w:rsidP="007933BC">
      <w:pPr>
        <w:pStyle w:val="Prrafodelista"/>
        <w:numPr>
          <w:ilvl w:val="0"/>
          <w:numId w:val="2"/>
        </w:numPr>
      </w:pPr>
      <w:r>
        <w:t>Comunidades titulares de montes vecinales en mano común y,</w:t>
      </w:r>
    </w:p>
    <w:p w:rsidR="000D49D7" w:rsidRDefault="007933BC" w:rsidP="000D49D7">
      <w:pPr>
        <w:pStyle w:val="Prrafodelista"/>
        <w:numPr>
          <w:ilvl w:val="0"/>
          <w:numId w:val="2"/>
        </w:numPr>
      </w:pPr>
      <w:r>
        <w:t>Los fondos de activos bancarios.</w:t>
      </w:r>
    </w:p>
    <w:p w:rsidR="002D088E" w:rsidRDefault="002D088E" w:rsidP="002D088E">
      <w:pPr>
        <w:pStyle w:val="Prrafodelista"/>
      </w:pPr>
    </w:p>
    <w:p w:rsidR="007933BC" w:rsidRDefault="007933BC" w:rsidP="007933BC">
      <w:pPr>
        <w:pStyle w:val="Prrafodelista"/>
        <w:numPr>
          <w:ilvl w:val="1"/>
          <w:numId w:val="1"/>
        </w:numPr>
      </w:pPr>
      <w:r>
        <w:t>SUJECIÓN AL IMPUESTO</w:t>
      </w:r>
    </w:p>
    <w:p w:rsidR="007933BC" w:rsidRDefault="007933BC" w:rsidP="007933BC">
      <w:r>
        <w:t>Será de aplicación a las entidades residentes en territorio español, será gravada la totalidad de la renta que obtenga</w:t>
      </w:r>
      <w:r w:rsidR="00407991">
        <w:t xml:space="preserve">n </w:t>
      </w:r>
      <w:r>
        <w:t>con independencia del l</w:t>
      </w:r>
      <w:r w:rsidR="00407991">
        <w:t>ugar donde se hubiere producido (renta mundial)</w:t>
      </w:r>
    </w:p>
    <w:p w:rsidR="007933BC" w:rsidRDefault="007933BC" w:rsidP="007933BC">
      <w:r>
        <w:t>Son residentes las entidades que tenga alguno de los siguientes requisitos:</w:t>
      </w:r>
    </w:p>
    <w:p w:rsidR="007933BC" w:rsidRDefault="007933BC" w:rsidP="007933BC">
      <w:pPr>
        <w:pStyle w:val="Prrafodelista"/>
        <w:numPr>
          <w:ilvl w:val="0"/>
          <w:numId w:val="5"/>
        </w:numPr>
      </w:pPr>
      <w:r>
        <w:t>Se hubieran constituido conforme a las leyes españolas.</w:t>
      </w:r>
    </w:p>
    <w:p w:rsidR="007933BC" w:rsidRDefault="007933BC" w:rsidP="007933BC">
      <w:pPr>
        <w:pStyle w:val="Prrafodelista"/>
        <w:numPr>
          <w:ilvl w:val="0"/>
          <w:numId w:val="5"/>
        </w:numPr>
      </w:pPr>
      <w:r>
        <w:t>Que tengan su domicilio en el territorio español.</w:t>
      </w:r>
    </w:p>
    <w:p w:rsidR="007933BC" w:rsidRDefault="007933BC" w:rsidP="007933BC">
      <w:pPr>
        <w:pStyle w:val="Prrafodelista"/>
        <w:numPr>
          <w:ilvl w:val="0"/>
          <w:numId w:val="5"/>
        </w:numPr>
      </w:pPr>
      <w:r>
        <w:t xml:space="preserve">Que tengan la sede de dirección </w:t>
      </w:r>
      <w:r w:rsidR="00407991">
        <w:t xml:space="preserve">efectiva </w:t>
      </w:r>
      <w:r>
        <w:t>en territorio español.</w:t>
      </w:r>
    </w:p>
    <w:p w:rsidR="007933BC" w:rsidRDefault="007933BC" w:rsidP="007933BC">
      <w:r>
        <w:t xml:space="preserve">La Administración tributaria </w:t>
      </w:r>
      <w:r w:rsidR="00D774FC">
        <w:t xml:space="preserve">podrá presumir que una entidad radicada en un país de nula tributación o paraíso fiscal tiene su residencia </w:t>
      </w:r>
      <w:r w:rsidR="00407991">
        <w:t xml:space="preserve">en España </w:t>
      </w:r>
      <w:r w:rsidR="00D774FC">
        <w:t>si se dan al</w:t>
      </w:r>
      <w:r w:rsidR="00407991">
        <w:t>gunas circunstancias como que</w:t>
      </w:r>
      <w:r w:rsidR="00D774FC">
        <w:t xml:space="preserve"> su </w:t>
      </w:r>
      <w:r w:rsidR="00407991">
        <w:t xml:space="preserve">actividad principal se desarrolle en España </w:t>
      </w:r>
      <w:r w:rsidR="00D774FC">
        <w:t>o cuando sus activos principales consistan en bienes situados en territorio español.</w:t>
      </w:r>
    </w:p>
    <w:p w:rsidR="00D774FC" w:rsidRDefault="00D774FC" w:rsidP="00D774FC">
      <w:pPr>
        <w:pStyle w:val="Prrafodelista"/>
        <w:numPr>
          <w:ilvl w:val="1"/>
          <w:numId w:val="1"/>
        </w:numPr>
      </w:pPr>
      <w:r>
        <w:t>EL DOMICILIO FISCAL DE LAS ENTIDADES RESIDENTES</w:t>
      </w:r>
    </w:p>
    <w:p w:rsidR="00D774FC" w:rsidRDefault="00D774FC" w:rsidP="00D774FC">
      <w:r>
        <w:t>Será el domicil</w:t>
      </w:r>
      <w:r w:rsidR="002D088E">
        <w:t>io social</w:t>
      </w:r>
      <w:r w:rsidR="00407991">
        <w:t>, siempre que, en él, esté</w:t>
      </w:r>
      <w:r w:rsidR="002D088E">
        <w:t xml:space="preserve"> centraliza</w:t>
      </w:r>
      <w:r>
        <w:t>da la gestión administrativa y la dirección de sus</w:t>
      </w:r>
      <w:r w:rsidR="00407991">
        <w:t xml:space="preserve"> negocios. Si no es así</w:t>
      </w:r>
      <w:r>
        <w:t>, se da primacía al último criterio</w:t>
      </w:r>
      <w:r w:rsidR="002F1AF6">
        <w:t xml:space="preserve"> (gestión y dirección efectiva)</w:t>
      </w:r>
      <w:r>
        <w:t xml:space="preserve">. Si no se puede establecer el </w:t>
      </w:r>
      <w:r w:rsidR="002D088E">
        <w:t>domicilio</w:t>
      </w:r>
      <w:r>
        <w:t xml:space="preserve"> fiscal, prevalecerá aquel donde radique el mayor valor del inmovilizado.</w:t>
      </w:r>
    </w:p>
    <w:p w:rsidR="00D774FC" w:rsidRDefault="00D774FC" w:rsidP="00D774FC">
      <w:pPr>
        <w:pStyle w:val="Prrafodelista"/>
        <w:numPr>
          <w:ilvl w:val="0"/>
          <w:numId w:val="1"/>
        </w:numPr>
      </w:pPr>
      <w:r>
        <w:t>EXENCIONES PLENAS Y PARCIALES</w:t>
      </w:r>
    </w:p>
    <w:p w:rsidR="00D774FC" w:rsidRDefault="00D774FC" w:rsidP="00D774FC">
      <w:pPr>
        <w:pStyle w:val="Prrafodelista"/>
        <w:numPr>
          <w:ilvl w:val="1"/>
          <w:numId w:val="1"/>
        </w:numPr>
      </w:pPr>
      <w:r>
        <w:t>ENTIDADES TOTALMENTE EXENTAS (ART. 9.1 DE LA LIS).</w:t>
      </w:r>
    </w:p>
    <w:p w:rsidR="00D774FC" w:rsidRDefault="00D774FC" w:rsidP="00D774FC">
      <w:r>
        <w:t>Se encuentran totalmente exentos del impuesto</w:t>
      </w:r>
      <w:r w:rsidR="0049090D">
        <w:t>, entre otras</w:t>
      </w:r>
      <w:r>
        <w:t xml:space="preserve">: </w:t>
      </w:r>
    </w:p>
    <w:p w:rsidR="00D774FC" w:rsidRPr="00D774FC" w:rsidRDefault="00D774FC" w:rsidP="0049090D">
      <w:pPr>
        <w:pStyle w:val="Prrafodelista"/>
        <w:numPr>
          <w:ilvl w:val="0"/>
          <w:numId w:val="7"/>
        </w:numPr>
        <w:rPr>
          <w:lang w:eastAsia="es-ES"/>
        </w:rPr>
      </w:pPr>
      <w:r w:rsidRPr="00D774FC">
        <w:rPr>
          <w:lang w:eastAsia="es-ES"/>
        </w:rPr>
        <w:t>El Estado, las Comunidades Autónomas y las entidades locales.</w:t>
      </w:r>
    </w:p>
    <w:p w:rsidR="00D774FC" w:rsidRPr="00D774FC" w:rsidRDefault="00D774FC" w:rsidP="0049090D">
      <w:pPr>
        <w:pStyle w:val="Prrafodelista"/>
        <w:numPr>
          <w:ilvl w:val="0"/>
          <w:numId w:val="7"/>
        </w:numPr>
        <w:rPr>
          <w:lang w:eastAsia="es-ES"/>
        </w:rPr>
      </w:pPr>
      <w:r w:rsidRPr="00D774FC">
        <w:rPr>
          <w:lang w:eastAsia="es-ES"/>
        </w:rPr>
        <w:t>Los organismos autónomos del Estado y entidades de derecho público de análogo carácter de las Comunidades Autónomas y de las entidades locales.</w:t>
      </w:r>
    </w:p>
    <w:p w:rsidR="00D774FC" w:rsidRPr="00D774FC" w:rsidRDefault="00D774FC" w:rsidP="0049090D">
      <w:pPr>
        <w:pStyle w:val="Prrafodelista"/>
        <w:numPr>
          <w:ilvl w:val="0"/>
          <w:numId w:val="7"/>
        </w:numPr>
        <w:rPr>
          <w:lang w:eastAsia="es-ES"/>
        </w:rPr>
      </w:pPr>
      <w:r w:rsidRPr="00D774FC">
        <w:rPr>
          <w:lang w:eastAsia="es-ES"/>
        </w:rPr>
        <w:t>El Banco de España, el Fondo de Garantía de Depósitos de Entidades de Crédito y los Fondos de garantía de inversiones.</w:t>
      </w:r>
    </w:p>
    <w:p w:rsidR="00D774FC" w:rsidRPr="00D774FC" w:rsidRDefault="00D774FC" w:rsidP="0049090D">
      <w:pPr>
        <w:pStyle w:val="Prrafodelista"/>
        <w:numPr>
          <w:ilvl w:val="0"/>
          <w:numId w:val="7"/>
        </w:numPr>
        <w:rPr>
          <w:lang w:eastAsia="es-ES"/>
        </w:rPr>
      </w:pPr>
      <w:r w:rsidRPr="00D774FC">
        <w:rPr>
          <w:lang w:eastAsia="es-ES"/>
        </w:rPr>
        <w:t>Las Entidades Gestoras y Servicios Comunes de la Seguridad Social.</w:t>
      </w:r>
    </w:p>
    <w:p w:rsidR="00D774FC" w:rsidRPr="00D774FC" w:rsidRDefault="00D774FC" w:rsidP="0049090D">
      <w:pPr>
        <w:pStyle w:val="Prrafodelista"/>
        <w:numPr>
          <w:ilvl w:val="0"/>
          <w:numId w:val="7"/>
        </w:numPr>
        <w:rPr>
          <w:lang w:eastAsia="es-ES"/>
        </w:rPr>
      </w:pPr>
      <w:r w:rsidRPr="00D774FC">
        <w:rPr>
          <w:lang w:eastAsia="es-ES"/>
        </w:rPr>
        <w:t>El Instituto de España y las Reales Academias oficiales integradas en aquél y las instituciones de las Comunidades Autónomas con lengua oficial propia que tengan fines análogos a los de la Real Academia Española.</w:t>
      </w:r>
    </w:p>
    <w:p w:rsidR="00D774FC" w:rsidRPr="00D774FC" w:rsidRDefault="002F1AF6" w:rsidP="0049090D">
      <w:pPr>
        <w:pStyle w:val="Prrafodelista"/>
        <w:numPr>
          <w:ilvl w:val="0"/>
          <w:numId w:val="7"/>
        </w:numPr>
        <w:rPr>
          <w:lang w:eastAsia="es-ES"/>
        </w:rPr>
      </w:pPr>
      <w:r>
        <w:rPr>
          <w:lang w:eastAsia="es-ES"/>
        </w:rPr>
        <w:t>Las Agencias Estatales, la AEAT, el Instituto Cervantes y RTVE</w:t>
      </w:r>
    </w:p>
    <w:p w:rsidR="0049090D" w:rsidRDefault="00D774FC" w:rsidP="0049090D">
      <w:pPr>
        <w:pStyle w:val="Prrafodelista"/>
        <w:numPr>
          <w:ilvl w:val="0"/>
          <w:numId w:val="7"/>
        </w:numPr>
        <w:rPr>
          <w:lang w:eastAsia="es-ES"/>
        </w:rPr>
      </w:pPr>
      <w:r w:rsidRPr="00D774FC">
        <w:rPr>
          <w:lang w:eastAsia="es-ES"/>
        </w:rPr>
        <w:t>El Consejo Internacional de Supervisión Pública en estándares de auditoría, ética profesional y materias relacionadas.</w:t>
      </w:r>
    </w:p>
    <w:p w:rsidR="002D088E" w:rsidRDefault="002D088E" w:rsidP="002D088E">
      <w:pPr>
        <w:pStyle w:val="Prrafodelista"/>
        <w:rPr>
          <w:lang w:eastAsia="es-ES"/>
        </w:rPr>
      </w:pPr>
    </w:p>
    <w:p w:rsidR="0049090D" w:rsidRDefault="0049090D" w:rsidP="0049090D">
      <w:pPr>
        <w:pStyle w:val="Prrafodelista"/>
        <w:numPr>
          <w:ilvl w:val="1"/>
          <w:numId w:val="1"/>
        </w:numPr>
        <w:rPr>
          <w:lang w:eastAsia="es-ES"/>
        </w:rPr>
      </w:pPr>
      <w:r>
        <w:rPr>
          <w:lang w:eastAsia="es-ES"/>
        </w:rPr>
        <w:t>EN</w:t>
      </w:r>
      <w:r w:rsidR="002F1AF6">
        <w:rPr>
          <w:lang w:eastAsia="es-ES"/>
        </w:rPr>
        <w:t>TIDADES PARCIALMENTE EXENTAS (</w:t>
      </w:r>
      <w:r>
        <w:rPr>
          <w:lang w:eastAsia="es-ES"/>
        </w:rPr>
        <w:t>2,3,4</w:t>
      </w:r>
      <w:r w:rsidR="002F1AF6">
        <w:rPr>
          <w:lang w:eastAsia="es-ES"/>
        </w:rPr>
        <w:t xml:space="preserve"> y 9</w:t>
      </w:r>
      <w:r>
        <w:rPr>
          <w:lang w:eastAsia="es-ES"/>
        </w:rPr>
        <w:t xml:space="preserve"> LIS)</w:t>
      </w:r>
    </w:p>
    <w:p w:rsidR="0049090D" w:rsidRDefault="0049090D" w:rsidP="0049090D">
      <w:pPr>
        <w:rPr>
          <w:lang w:eastAsia="es-ES"/>
        </w:rPr>
      </w:pPr>
      <w:r>
        <w:rPr>
          <w:lang w:eastAsia="es-ES"/>
        </w:rPr>
        <w:t>La exención parcial se caracteriza porque solo gozarán de exención las rentas relacionadas con la consecución del objeto de la entidad aunque, estará obligada a declarar la totalidad de sus rentas.</w:t>
      </w:r>
    </w:p>
    <w:p w:rsidR="0049090D" w:rsidRPr="0049090D" w:rsidRDefault="002D088E" w:rsidP="0049090D">
      <w:pPr>
        <w:rPr>
          <w:lang w:eastAsia="es-ES"/>
        </w:rPr>
      </w:pPr>
      <w:r>
        <w:rPr>
          <w:lang w:eastAsia="es-ES"/>
        </w:rPr>
        <w:t xml:space="preserve">Artículo </w:t>
      </w:r>
      <w:r w:rsidR="0049090D">
        <w:rPr>
          <w:lang w:eastAsia="es-ES"/>
        </w:rPr>
        <w:t>9.</w:t>
      </w:r>
      <w:r w:rsidR="0049090D" w:rsidRPr="0049090D">
        <w:rPr>
          <w:lang w:eastAsia="es-ES"/>
        </w:rPr>
        <w:t xml:space="preserve">3. Estarán parcialmente exentos del Impuesto </w:t>
      </w:r>
    </w:p>
    <w:p w:rsidR="0049090D" w:rsidRPr="0049090D" w:rsidRDefault="0049090D" w:rsidP="002D088E">
      <w:pPr>
        <w:pStyle w:val="Prrafodelista"/>
        <w:numPr>
          <w:ilvl w:val="0"/>
          <w:numId w:val="22"/>
        </w:numPr>
        <w:rPr>
          <w:lang w:eastAsia="es-ES"/>
        </w:rPr>
      </w:pPr>
      <w:r w:rsidRPr="0049090D">
        <w:rPr>
          <w:lang w:eastAsia="es-ES"/>
        </w:rPr>
        <w:lastRenderedPageBreak/>
        <w:t>Las entidades e instituciones sin ánimo de lucro no incluidas en el apartado anterior.</w:t>
      </w:r>
    </w:p>
    <w:p w:rsidR="0049090D" w:rsidRPr="0049090D" w:rsidRDefault="0049090D" w:rsidP="002D088E">
      <w:pPr>
        <w:pStyle w:val="Prrafodelista"/>
        <w:numPr>
          <w:ilvl w:val="0"/>
          <w:numId w:val="22"/>
        </w:numPr>
        <w:rPr>
          <w:lang w:eastAsia="es-ES"/>
        </w:rPr>
      </w:pPr>
      <w:r w:rsidRPr="0049090D">
        <w:rPr>
          <w:lang w:eastAsia="es-ES"/>
        </w:rPr>
        <w:t>Las uniones, federaciones y confederaciones de cooperativas.</w:t>
      </w:r>
    </w:p>
    <w:p w:rsidR="0049090D" w:rsidRPr="0049090D" w:rsidRDefault="0049090D" w:rsidP="002D088E">
      <w:pPr>
        <w:pStyle w:val="Prrafodelista"/>
        <w:numPr>
          <w:ilvl w:val="0"/>
          <w:numId w:val="22"/>
        </w:numPr>
        <w:rPr>
          <w:lang w:eastAsia="es-ES"/>
        </w:rPr>
      </w:pPr>
      <w:r w:rsidRPr="0049090D">
        <w:rPr>
          <w:lang w:eastAsia="es-ES"/>
        </w:rPr>
        <w:t>Los colegios profesionales, las asociaciones empresariales, las cámaras oficiales y los sindicatos de trabajadores.</w:t>
      </w:r>
    </w:p>
    <w:p w:rsidR="0049090D" w:rsidRPr="0049090D" w:rsidRDefault="0049090D" w:rsidP="002D088E">
      <w:pPr>
        <w:pStyle w:val="Prrafodelista"/>
        <w:numPr>
          <w:ilvl w:val="0"/>
          <w:numId w:val="22"/>
        </w:numPr>
        <w:rPr>
          <w:lang w:eastAsia="es-ES"/>
        </w:rPr>
      </w:pPr>
      <w:r w:rsidRPr="0049090D">
        <w:rPr>
          <w:lang w:eastAsia="es-ES"/>
        </w:rPr>
        <w:t>Lo</w:t>
      </w:r>
      <w:r>
        <w:rPr>
          <w:lang w:eastAsia="es-ES"/>
        </w:rPr>
        <w:t>s fondos de promoción de empleo.</w:t>
      </w:r>
    </w:p>
    <w:p w:rsidR="0049090D" w:rsidRPr="0049090D" w:rsidRDefault="0049090D" w:rsidP="002D088E">
      <w:pPr>
        <w:pStyle w:val="Prrafodelista"/>
        <w:numPr>
          <w:ilvl w:val="0"/>
          <w:numId w:val="22"/>
        </w:numPr>
        <w:rPr>
          <w:lang w:eastAsia="es-ES"/>
        </w:rPr>
      </w:pPr>
      <w:r w:rsidRPr="0049090D">
        <w:rPr>
          <w:lang w:eastAsia="es-ES"/>
        </w:rPr>
        <w:t>Las Mutuas Colaborador</w:t>
      </w:r>
      <w:r>
        <w:rPr>
          <w:lang w:eastAsia="es-ES"/>
        </w:rPr>
        <w:t>as de la Seguridad Social.</w:t>
      </w:r>
    </w:p>
    <w:p w:rsidR="0049090D" w:rsidRDefault="0049090D" w:rsidP="002D088E">
      <w:pPr>
        <w:pStyle w:val="Prrafodelista"/>
        <w:numPr>
          <w:ilvl w:val="0"/>
          <w:numId w:val="22"/>
        </w:numPr>
        <w:rPr>
          <w:lang w:eastAsia="es-ES"/>
        </w:rPr>
      </w:pPr>
      <w:r w:rsidRPr="0049090D">
        <w:rPr>
          <w:lang w:eastAsia="es-ES"/>
        </w:rPr>
        <w:t>Las entidades de derecho público Puertos del Estado y las respectivas de las Comunidades Autónomas, así como las Autoridades Portuarias.</w:t>
      </w:r>
    </w:p>
    <w:p w:rsidR="00EC61A0" w:rsidRPr="0049090D" w:rsidRDefault="00EC61A0" w:rsidP="002D088E">
      <w:pPr>
        <w:pStyle w:val="Prrafodelista"/>
        <w:numPr>
          <w:ilvl w:val="0"/>
          <w:numId w:val="22"/>
        </w:numPr>
        <w:rPr>
          <w:lang w:eastAsia="es-ES"/>
        </w:rPr>
      </w:pPr>
      <w:r>
        <w:rPr>
          <w:lang w:eastAsia="es-ES"/>
        </w:rPr>
        <w:t>Los partidos políticos</w:t>
      </w:r>
    </w:p>
    <w:p w:rsidR="00EC61A0" w:rsidRDefault="00EC61A0" w:rsidP="00EC61A0">
      <w:pPr>
        <w:pStyle w:val="Prrafodelista"/>
        <w:rPr>
          <w:lang w:eastAsia="es-ES"/>
        </w:rPr>
      </w:pPr>
    </w:p>
    <w:p w:rsidR="0049090D" w:rsidRDefault="0049090D" w:rsidP="0049090D">
      <w:pPr>
        <w:pStyle w:val="Prrafodelista"/>
        <w:numPr>
          <w:ilvl w:val="0"/>
          <w:numId w:val="1"/>
        </w:numPr>
        <w:rPr>
          <w:lang w:eastAsia="es-ES"/>
        </w:rPr>
      </w:pPr>
      <w:r>
        <w:rPr>
          <w:lang w:eastAsia="es-ES"/>
        </w:rPr>
        <w:t>BASE IMPONIBLE. CONCEPTO Y REGÍMENES DE DETERMINACIÓN</w:t>
      </w:r>
    </w:p>
    <w:p w:rsidR="0049090D" w:rsidRDefault="0049090D" w:rsidP="0049090D">
      <w:pPr>
        <w:rPr>
          <w:lang w:eastAsia="es-ES"/>
        </w:rPr>
      </w:pPr>
      <w:r>
        <w:rPr>
          <w:lang w:eastAsia="es-ES"/>
        </w:rPr>
        <w:t>Según el artículo 10 de la LIS la base imponible estará constituida por el importe de la renta obtenid</w:t>
      </w:r>
      <w:r w:rsidR="005E4266">
        <w:rPr>
          <w:lang w:eastAsia="es-ES"/>
        </w:rPr>
        <w:t>a en el periodo minorada por la</w:t>
      </w:r>
      <w:r>
        <w:rPr>
          <w:lang w:eastAsia="es-ES"/>
        </w:rPr>
        <w:t xml:space="preserve"> compensación de bases imponibles negativas de periodos impositivos anteriores.</w:t>
      </w:r>
    </w:p>
    <w:p w:rsidR="0049090D" w:rsidRDefault="0049090D" w:rsidP="0049090D">
      <w:pPr>
        <w:pStyle w:val="Prrafodelista"/>
        <w:numPr>
          <w:ilvl w:val="1"/>
          <w:numId w:val="1"/>
        </w:numPr>
        <w:rPr>
          <w:lang w:eastAsia="es-ES"/>
        </w:rPr>
      </w:pPr>
      <w:r>
        <w:rPr>
          <w:lang w:eastAsia="es-ES"/>
        </w:rPr>
        <w:t>PROCEDIMIENTOS DE DETERMINACIÓN DE LA B</w:t>
      </w:r>
      <w:r w:rsidR="005E4266">
        <w:rPr>
          <w:lang w:eastAsia="es-ES"/>
        </w:rPr>
        <w:t>A</w:t>
      </w:r>
      <w:r>
        <w:rPr>
          <w:lang w:eastAsia="es-ES"/>
        </w:rPr>
        <w:t>SE IMPONIBLE (ART 10 LIS)</w:t>
      </w:r>
    </w:p>
    <w:p w:rsidR="0049090D" w:rsidRDefault="0049090D" w:rsidP="0049090D">
      <w:pPr>
        <w:pStyle w:val="Prrafodelista"/>
        <w:numPr>
          <w:ilvl w:val="2"/>
          <w:numId w:val="1"/>
        </w:numPr>
        <w:rPr>
          <w:lang w:eastAsia="es-ES"/>
        </w:rPr>
      </w:pPr>
      <w:r>
        <w:rPr>
          <w:lang w:eastAsia="es-ES"/>
        </w:rPr>
        <w:t>Procedimiento general: estimación directa.</w:t>
      </w:r>
    </w:p>
    <w:p w:rsidR="0049090D" w:rsidRDefault="00D80DBB" w:rsidP="0049090D">
      <w:pPr>
        <w:rPr>
          <w:lang w:eastAsia="es-ES"/>
        </w:rPr>
      </w:pPr>
      <w:r>
        <w:rPr>
          <w:lang w:eastAsia="es-ES"/>
        </w:rPr>
        <w:t>S</w:t>
      </w:r>
      <w:r w:rsidR="0049090D">
        <w:rPr>
          <w:lang w:eastAsia="es-ES"/>
        </w:rPr>
        <w:t xml:space="preserve">e calculará corrigiendo </w:t>
      </w:r>
      <w:r w:rsidR="00FC1DA0">
        <w:rPr>
          <w:lang w:eastAsia="es-ES"/>
        </w:rPr>
        <w:t xml:space="preserve">según las normas fiscales </w:t>
      </w:r>
      <w:r w:rsidR="0049090D">
        <w:rPr>
          <w:lang w:eastAsia="es-ES"/>
        </w:rPr>
        <w:t>el resultado contable</w:t>
      </w:r>
      <w:r w:rsidR="00FC1DA0">
        <w:rPr>
          <w:lang w:eastAsia="es-ES"/>
        </w:rPr>
        <w:t xml:space="preserve"> obtenido de acuerdo con los preceptos de Código de Comercio.</w:t>
      </w:r>
    </w:p>
    <w:p w:rsidR="00D80DBB" w:rsidRDefault="00D80DBB" w:rsidP="00D80DBB">
      <w:pPr>
        <w:pStyle w:val="Prrafodelista"/>
        <w:numPr>
          <w:ilvl w:val="2"/>
          <w:numId w:val="1"/>
        </w:numPr>
        <w:rPr>
          <w:lang w:eastAsia="es-ES"/>
        </w:rPr>
      </w:pPr>
      <w:r>
        <w:rPr>
          <w:lang w:eastAsia="es-ES"/>
        </w:rPr>
        <w:t>Procedimiento de estimación objetiva</w:t>
      </w:r>
    </w:p>
    <w:p w:rsidR="00D80DBB" w:rsidRDefault="00D80DBB" w:rsidP="00D80DBB">
      <w:pPr>
        <w:rPr>
          <w:lang w:eastAsia="es-ES"/>
        </w:rPr>
      </w:pPr>
      <w:r>
        <w:rPr>
          <w:lang w:eastAsia="es-ES"/>
        </w:rPr>
        <w:t xml:space="preserve">Se podrá determina la base imponible </w:t>
      </w:r>
      <w:r w:rsidR="005E4266">
        <w:rPr>
          <w:lang w:eastAsia="es-ES"/>
        </w:rPr>
        <w:t>mediante</w:t>
      </w:r>
      <w:r>
        <w:rPr>
          <w:lang w:eastAsia="es-ES"/>
        </w:rPr>
        <w:t xml:space="preserve"> la aplicación de signos, índices o </w:t>
      </w:r>
      <w:r w:rsidR="005E4266">
        <w:rPr>
          <w:lang w:eastAsia="es-ES"/>
        </w:rPr>
        <w:t>módulos</w:t>
      </w:r>
      <w:r w:rsidR="00FC1DA0">
        <w:rPr>
          <w:lang w:eastAsia="es-ES"/>
        </w:rPr>
        <w:t xml:space="preserve"> (Actualmente se aplica a entidades navieras)</w:t>
      </w:r>
    </w:p>
    <w:p w:rsidR="00D80DBB" w:rsidRDefault="005E4266" w:rsidP="005E4266">
      <w:pPr>
        <w:rPr>
          <w:lang w:eastAsia="es-ES"/>
        </w:rPr>
      </w:pPr>
      <w:r>
        <w:rPr>
          <w:lang w:eastAsia="es-ES"/>
        </w:rPr>
        <w:t xml:space="preserve">       </w:t>
      </w:r>
      <w:r w:rsidR="00D80DBB">
        <w:rPr>
          <w:lang w:eastAsia="es-ES"/>
        </w:rPr>
        <w:t>6.1.3. Procedimiento de estimación indirecta.</w:t>
      </w:r>
    </w:p>
    <w:p w:rsidR="00D80DBB" w:rsidRDefault="00D80DBB" w:rsidP="00D80DBB">
      <w:pPr>
        <w:rPr>
          <w:lang w:eastAsia="es-ES"/>
        </w:rPr>
      </w:pPr>
      <w:r>
        <w:rPr>
          <w:lang w:eastAsia="es-ES"/>
        </w:rPr>
        <w:t>Se determinará por este procedimiento cuando concurra alguna de las circunstancias del artículo 53 de la Ley General Tributaria.</w:t>
      </w:r>
    </w:p>
    <w:p w:rsidR="00761FA4" w:rsidRPr="0021146A" w:rsidRDefault="00761FA4" w:rsidP="00761FA4">
      <w:pPr>
        <w:pStyle w:val="Prrafodelista"/>
        <w:numPr>
          <w:ilvl w:val="0"/>
          <w:numId w:val="1"/>
        </w:numPr>
        <w:rPr>
          <w:color w:val="FF0000"/>
          <w:lang w:eastAsia="es-ES"/>
        </w:rPr>
      </w:pPr>
      <w:r w:rsidRPr="0021146A">
        <w:rPr>
          <w:color w:val="FF0000"/>
          <w:lang w:eastAsia="es-ES"/>
        </w:rPr>
        <w:t>IMPUTACIÓN TEMPORAL DE INGRESOS Y GASTOS; LIMITACIÓN A LA DEDUCIBILIDAD DE GASTOS Y GASTOS NO DEDUCIBLE; REGLAS DE VALORACIÓN</w:t>
      </w:r>
    </w:p>
    <w:p w:rsidR="0021146A" w:rsidRPr="0021146A" w:rsidRDefault="0021146A" w:rsidP="0021146A">
      <w:pPr>
        <w:pStyle w:val="Prrafodelista"/>
        <w:rPr>
          <w:color w:val="FF0000"/>
          <w:lang w:eastAsia="es-ES"/>
        </w:rPr>
      </w:pPr>
    </w:p>
    <w:p w:rsidR="006A4531" w:rsidRPr="0021146A" w:rsidRDefault="00761FA4" w:rsidP="006A4531">
      <w:pPr>
        <w:pStyle w:val="Prrafodelista"/>
        <w:numPr>
          <w:ilvl w:val="1"/>
          <w:numId w:val="1"/>
        </w:numPr>
        <w:rPr>
          <w:color w:val="FF0000"/>
          <w:lang w:eastAsia="es-ES"/>
        </w:rPr>
      </w:pPr>
      <w:r w:rsidRPr="0021146A">
        <w:rPr>
          <w:color w:val="FF0000"/>
          <w:lang w:eastAsia="es-ES"/>
        </w:rPr>
        <w:t>IMPUTACIÓN TEMPORAL DE INGRESOS Y GASTOS</w:t>
      </w:r>
    </w:p>
    <w:p w:rsidR="006A4531" w:rsidRPr="0021146A" w:rsidRDefault="006A4531" w:rsidP="006A4531">
      <w:pPr>
        <w:pStyle w:val="Prrafodelista"/>
        <w:rPr>
          <w:color w:val="FF0000"/>
          <w:lang w:eastAsia="es-ES"/>
        </w:rPr>
      </w:pPr>
    </w:p>
    <w:p w:rsidR="006A4531" w:rsidRPr="0021146A" w:rsidRDefault="006A4531" w:rsidP="006A4531">
      <w:pPr>
        <w:pStyle w:val="Prrafodelista"/>
        <w:rPr>
          <w:color w:val="FF0000"/>
          <w:lang w:eastAsia="es-ES"/>
        </w:rPr>
      </w:pPr>
      <w:r w:rsidRPr="0021146A">
        <w:rPr>
          <w:color w:val="FF0000"/>
          <w:lang w:eastAsia="es-ES"/>
        </w:rPr>
        <w:t xml:space="preserve">Dado que la vida de la entidad se divide en ejercicios económicos </w:t>
      </w:r>
      <w:r w:rsidR="001A35F7" w:rsidRPr="0021146A">
        <w:rPr>
          <w:color w:val="FF0000"/>
          <w:lang w:eastAsia="es-ES"/>
        </w:rPr>
        <w:t>es preciso establecer normas para atribuir los distintos ingresos y gastos a cada uno de tales periodos.</w:t>
      </w:r>
    </w:p>
    <w:p w:rsidR="003829C9" w:rsidRPr="0021146A" w:rsidRDefault="003829C9" w:rsidP="006A4531">
      <w:pPr>
        <w:pStyle w:val="Prrafodelista"/>
        <w:rPr>
          <w:color w:val="FF0000"/>
          <w:lang w:eastAsia="es-ES"/>
        </w:rPr>
      </w:pPr>
    </w:p>
    <w:p w:rsidR="001A35F7" w:rsidRPr="0021146A" w:rsidRDefault="001A35F7" w:rsidP="006A4531">
      <w:pPr>
        <w:pStyle w:val="Prrafodelista"/>
        <w:rPr>
          <w:color w:val="FF0000"/>
          <w:lang w:eastAsia="es-ES"/>
        </w:rPr>
      </w:pPr>
      <w:r w:rsidRPr="0021146A">
        <w:rPr>
          <w:color w:val="FF0000"/>
          <w:lang w:eastAsia="es-ES"/>
        </w:rPr>
        <w:t>La regla general de imputación temporal coincide contable y fiscalmente. En los dos ámbitos se aplica el principio del devengo tal y como establece el art. 11.1 de la LIS.</w:t>
      </w:r>
    </w:p>
    <w:p w:rsidR="001A35F7" w:rsidRPr="0021146A" w:rsidRDefault="001A35F7" w:rsidP="006A4531">
      <w:pPr>
        <w:pStyle w:val="Prrafodelista"/>
        <w:rPr>
          <w:color w:val="FF0000"/>
          <w:lang w:eastAsia="es-ES"/>
        </w:rPr>
      </w:pPr>
    </w:p>
    <w:p w:rsidR="006A4531" w:rsidRPr="0021146A" w:rsidRDefault="001A35F7" w:rsidP="001A35F7">
      <w:pPr>
        <w:pStyle w:val="Prrafodelista"/>
        <w:rPr>
          <w:rFonts w:cs="Times New Roman"/>
          <w:color w:val="FF0000"/>
        </w:rPr>
      </w:pPr>
      <w:r w:rsidRPr="0021146A">
        <w:rPr>
          <w:rFonts w:cs="Times New Roman"/>
          <w:color w:val="FF0000"/>
        </w:rPr>
        <w:t>“</w:t>
      </w:r>
      <w:r w:rsidR="006A4531" w:rsidRPr="0021146A">
        <w:rPr>
          <w:rFonts w:cs="Times New Roman"/>
          <w:color w:val="FF0000"/>
        </w:rPr>
        <w:t>Los ingresos y gastos derivados de las transacciones o hechos económicos se imputarán al período impositivo en que se produzca su devengo, con arreglo a la normativa contable, con independencia de la fecha de su pago o de su cobro, respetando la debida correlación entre unos y otros</w:t>
      </w:r>
      <w:r w:rsidRPr="0021146A">
        <w:rPr>
          <w:rFonts w:cs="Times New Roman"/>
          <w:color w:val="FF0000"/>
        </w:rPr>
        <w:t>”</w:t>
      </w:r>
      <w:r w:rsidR="006A4531" w:rsidRPr="0021146A">
        <w:rPr>
          <w:rFonts w:cs="Times New Roman"/>
          <w:color w:val="FF0000"/>
        </w:rPr>
        <w:t>.</w:t>
      </w:r>
    </w:p>
    <w:p w:rsidR="001A35F7" w:rsidRPr="0021146A" w:rsidRDefault="001A35F7" w:rsidP="001A35F7">
      <w:pPr>
        <w:pStyle w:val="Prrafodelista"/>
        <w:rPr>
          <w:rFonts w:cs="Times New Roman"/>
          <w:color w:val="FF0000"/>
        </w:rPr>
      </w:pPr>
    </w:p>
    <w:p w:rsidR="001A35F7" w:rsidRPr="0021146A" w:rsidRDefault="001A35F7" w:rsidP="001A35F7">
      <w:pPr>
        <w:pStyle w:val="Prrafodelista"/>
        <w:rPr>
          <w:rFonts w:cs="Times New Roman"/>
          <w:color w:val="FF0000"/>
        </w:rPr>
      </w:pPr>
      <w:r w:rsidRPr="0021146A">
        <w:rPr>
          <w:rFonts w:cs="Times New Roman"/>
          <w:color w:val="FF0000"/>
        </w:rPr>
        <w:t>Además se establecen las siguientes reglas</w:t>
      </w:r>
      <w:r w:rsidR="003829C9" w:rsidRPr="0021146A">
        <w:rPr>
          <w:rFonts w:cs="Times New Roman"/>
          <w:color w:val="FF0000"/>
        </w:rPr>
        <w:t xml:space="preserve"> especiales</w:t>
      </w:r>
      <w:r w:rsidRPr="0021146A">
        <w:rPr>
          <w:rFonts w:cs="Times New Roman"/>
          <w:color w:val="FF0000"/>
        </w:rPr>
        <w:t>:</w:t>
      </w:r>
    </w:p>
    <w:p w:rsidR="001A35F7" w:rsidRPr="0021146A" w:rsidRDefault="001A35F7" w:rsidP="001A35F7">
      <w:pPr>
        <w:pStyle w:val="Prrafodelista"/>
        <w:rPr>
          <w:rFonts w:cs="Times New Roman"/>
          <w:color w:val="FF0000"/>
        </w:rPr>
      </w:pPr>
    </w:p>
    <w:p w:rsidR="001A35F7" w:rsidRPr="0021146A" w:rsidRDefault="001A35F7" w:rsidP="001A35F7">
      <w:pPr>
        <w:pStyle w:val="Prrafodelista"/>
        <w:numPr>
          <w:ilvl w:val="0"/>
          <w:numId w:val="39"/>
        </w:numPr>
        <w:rPr>
          <w:color w:val="FF0000"/>
          <w:lang w:eastAsia="es-ES"/>
        </w:rPr>
      </w:pPr>
      <w:r w:rsidRPr="0021146A">
        <w:rPr>
          <w:rFonts w:cs="Times New Roman"/>
          <w:color w:val="FF0000"/>
        </w:rPr>
        <w:t>Principio de Inscripción contable (Art. 11.3 LIS)</w:t>
      </w:r>
    </w:p>
    <w:p w:rsidR="006A4531" w:rsidRPr="0021146A" w:rsidRDefault="006A4531" w:rsidP="006A4531">
      <w:pPr>
        <w:pStyle w:val="parrafo"/>
        <w:spacing w:before="180" w:beforeAutospacing="0" w:after="180" w:afterAutospacing="0"/>
        <w:ind w:left="720"/>
        <w:jc w:val="both"/>
        <w:rPr>
          <w:color w:val="FF0000"/>
          <w:sz w:val="22"/>
          <w:szCs w:val="22"/>
        </w:rPr>
      </w:pPr>
      <w:r w:rsidRPr="0021146A">
        <w:rPr>
          <w:color w:val="FF0000"/>
          <w:sz w:val="22"/>
          <w:szCs w:val="22"/>
        </w:rPr>
        <w:lastRenderedPageBreak/>
        <w:t>No serán fiscalmente deducibles los gastos que no se hayan imputado contablemente en la cuenta de pérdidas y ganancias o en una cuenta de reservas si así lo establece una norma legal o reglamentaria, a excepción de lo previsto en esta Ley respecto de los elementos patrimoniales que puedan amortizarse libremente o de forma acelerada.</w:t>
      </w:r>
    </w:p>
    <w:p w:rsidR="006A4531" w:rsidRPr="0021146A" w:rsidRDefault="006A4531" w:rsidP="006A4531">
      <w:pPr>
        <w:pStyle w:val="parrafo"/>
        <w:spacing w:before="180" w:beforeAutospacing="0" w:after="180" w:afterAutospacing="0"/>
        <w:ind w:left="720"/>
        <w:jc w:val="both"/>
        <w:rPr>
          <w:color w:val="FF0000"/>
          <w:sz w:val="22"/>
          <w:szCs w:val="22"/>
        </w:rPr>
      </w:pPr>
      <w:r w:rsidRPr="0021146A">
        <w:rPr>
          <w:color w:val="FF0000"/>
          <w:sz w:val="22"/>
          <w:szCs w:val="22"/>
        </w:rPr>
        <w:t>Los ingresos y los gastos imputados contablemente en la cuenta de pérdidas y ganancias o en una cuenta de reservas en un período impositivo distinto de aquel en el que proceda su imputación temporal, según lo previsto en los apartados anteriores, se imputarán en el período impositivo que corresponda de acuerdo con lo establecido en dichos apartados. No obstante, tratándose de gastos imputados contablemente en dichas cuentas en un período impositivo posterior a aquel en el que proceda su imputación temporal o de ingresos imputados en las mismas en un período impositivo anterior, la imputación temporal de unos y otros se efectuará en el período impositivo en el que se haya realizado la imputación contable, siempre que de ello no se derive una tributación inferior a la que hubiere correspondido por aplicación de las normas de imputación temporal prevista en los apartados anteriores.</w:t>
      </w:r>
      <w:r w:rsidR="001A35F7" w:rsidRPr="0021146A">
        <w:rPr>
          <w:color w:val="FF0000"/>
          <w:sz w:val="22"/>
          <w:szCs w:val="22"/>
        </w:rPr>
        <w:t xml:space="preserve"> </w:t>
      </w:r>
    </w:p>
    <w:p w:rsidR="006A4531" w:rsidRPr="0021146A" w:rsidRDefault="006A4531" w:rsidP="006A4531">
      <w:pPr>
        <w:pStyle w:val="parrafo"/>
        <w:spacing w:before="180" w:beforeAutospacing="0" w:after="180" w:afterAutospacing="0"/>
        <w:ind w:left="720"/>
        <w:jc w:val="both"/>
        <w:rPr>
          <w:color w:val="FF0000"/>
          <w:sz w:val="22"/>
          <w:szCs w:val="22"/>
        </w:rPr>
      </w:pPr>
      <w:r w:rsidRPr="0021146A">
        <w:rPr>
          <w:color w:val="FF0000"/>
          <w:sz w:val="22"/>
          <w:szCs w:val="22"/>
        </w:rPr>
        <w:t>Los cargos o abonos a partidas de reservas, registrados como consecuencia de cambios de criterios contables, se integrarán en la base imponible del período impositivo en que los mismos se realicen.</w:t>
      </w:r>
    </w:p>
    <w:p w:rsidR="001A35F7" w:rsidRPr="0021146A" w:rsidRDefault="001A35F7" w:rsidP="001A35F7">
      <w:pPr>
        <w:pStyle w:val="parrafo"/>
        <w:numPr>
          <w:ilvl w:val="0"/>
          <w:numId w:val="39"/>
        </w:numPr>
        <w:spacing w:before="180" w:beforeAutospacing="0" w:after="180" w:afterAutospacing="0"/>
        <w:jc w:val="both"/>
        <w:rPr>
          <w:color w:val="FF0000"/>
          <w:sz w:val="22"/>
          <w:szCs w:val="22"/>
        </w:rPr>
      </w:pPr>
      <w:r w:rsidRPr="002E58B7">
        <w:rPr>
          <w:b/>
          <w:color w:val="FF0000"/>
          <w:sz w:val="22"/>
          <w:szCs w:val="22"/>
        </w:rPr>
        <w:t>Operaciones a plazos</w:t>
      </w:r>
      <w:r w:rsidRPr="0021146A">
        <w:rPr>
          <w:color w:val="FF0000"/>
          <w:sz w:val="22"/>
          <w:szCs w:val="22"/>
        </w:rPr>
        <w:t xml:space="preserve"> (Art. 11.4 LIS)</w:t>
      </w:r>
    </w:p>
    <w:p w:rsidR="006A4531" w:rsidRPr="0021146A" w:rsidRDefault="006A4531" w:rsidP="006A4531">
      <w:pPr>
        <w:pStyle w:val="parrafo"/>
        <w:spacing w:before="180" w:beforeAutospacing="0" w:after="180" w:afterAutospacing="0"/>
        <w:ind w:left="720"/>
        <w:jc w:val="both"/>
        <w:rPr>
          <w:color w:val="FF0000"/>
          <w:sz w:val="22"/>
          <w:szCs w:val="22"/>
        </w:rPr>
      </w:pPr>
      <w:r w:rsidRPr="0021146A">
        <w:rPr>
          <w:color w:val="FF0000"/>
          <w:sz w:val="22"/>
          <w:szCs w:val="22"/>
        </w:rPr>
        <w:t>En el caso de operaciones a plazos o con precio aplazado, las rentas se entenderán obtenidas proporcionalmente a medida que sean exigibles los correspondientes cobros, excepto que la entidad decida aplicar el criterio del devengo.</w:t>
      </w:r>
    </w:p>
    <w:p w:rsidR="006A4531" w:rsidRPr="0021146A" w:rsidRDefault="006A4531" w:rsidP="006A4531">
      <w:pPr>
        <w:pStyle w:val="parrafo"/>
        <w:spacing w:before="180" w:beforeAutospacing="0" w:after="180" w:afterAutospacing="0"/>
        <w:ind w:left="720"/>
        <w:jc w:val="both"/>
        <w:rPr>
          <w:color w:val="FF0000"/>
          <w:sz w:val="22"/>
          <w:szCs w:val="22"/>
        </w:rPr>
      </w:pPr>
      <w:r w:rsidRPr="0021146A">
        <w:rPr>
          <w:color w:val="FF0000"/>
          <w:sz w:val="22"/>
          <w:szCs w:val="22"/>
        </w:rPr>
        <w:t>En caso de producirse el endoso, descuento o cobro anticipado de los importes aplazados, se entenderá obtenida, en dicho momento, la renta pendiente de imputación.</w:t>
      </w:r>
    </w:p>
    <w:p w:rsidR="006A4531" w:rsidRPr="0021146A" w:rsidRDefault="001A35F7" w:rsidP="006A4531">
      <w:pPr>
        <w:pStyle w:val="parrafo"/>
        <w:spacing w:before="180" w:beforeAutospacing="0" w:after="180" w:afterAutospacing="0"/>
        <w:ind w:left="720"/>
        <w:jc w:val="both"/>
        <w:rPr>
          <w:color w:val="FF0000"/>
          <w:sz w:val="22"/>
          <w:szCs w:val="22"/>
        </w:rPr>
      </w:pPr>
      <w:r w:rsidRPr="0021146A">
        <w:rPr>
          <w:color w:val="FF0000"/>
          <w:sz w:val="22"/>
          <w:szCs w:val="22"/>
        </w:rPr>
        <w:t xml:space="preserve">3. </w:t>
      </w:r>
      <w:r w:rsidR="006A4531" w:rsidRPr="0021146A">
        <w:rPr>
          <w:color w:val="FF0000"/>
          <w:sz w:val="22"/>
          <w:szCs w:val="22"/>
        </w:rPr>
        <w:t xml:space="preserve">No se integrará en la base imponible la </w:t>
      </w:r>
      <w:r w:rsidR="006A4531" w:rsidRPr="002E58B7">
        <w:rPr>
          <w:color w:val="FF0000"/>
          <w:sz w:val="22"/>
          <w:szCs w:val="22"/>
        </w:rPr>
        <w:t>reversión de gastos</w:t>
      </w:r>
      <w:r w:rsidR="006A4531" w:rsidRPr="0021146A">
        <w:rPr>
          <w:color w:val="FF0000"/>
          <w:sz w:val="22"/>
          <w:szCs w:val="22"/>
        </w:rPr>
        <w:t xml:space="preserve"> que no ha</w:t>
      </w:r>
      <w:r w:rsidRPr="0021146A">
        <w:rPr>
          <w:color w:val="FF0000"/>
          <w:sz w:val="22"/>
          <w:szCs w:val="22"/>
        </w:rPr>
        <w:t>yan sido fiscalmente deducibles (art. 11.5 LIS)</w:t>
      </w:r>
    </w:p>
    <w:p w:rsidR="006A4531" w:rsidRPr="0021146A" w:rsidRDefault="001A35F7" w:rsidP="006A4531">
      <w:pPr>
        <w:pStyle w:val="parrafo"/>
        <w:spacing w:before="180" w:beforeAutospacing="0" w:after="180" w:afterAutospacing="0"/>
        <w:ind w:left="720"/>
        <w:jc w:val="both"/>
        <w:rPr>
          <w:color w:val="FF0000"/>
          <w:sz w:val="22"/>
          <w:szCs w:val="22"/>
        </w:rPr>
      </w:pPr>
      <w:r w:rsidRPr="0021146A">
        <w:rPr>
          <w:color w:val="FF0000"/>
          <w:sz w:val="22"/>
          <w:szCs w:val="22"/>
        </w:rPr>
        <w:t xml:space="preserve">4. </w:t>
      </w:r>
      <w:r w:rsidR="006A4531" w:rsidRPr="0021146A">
        <w:rPr>
          <w:color w:val="FF0000"/>
          <w:sz w:val="22"/>
          <w:szCs w:val="22"/>
        </w:rPr>
        <w:t>La reversión de un deterioro o corrección de valor que haya sido fiscalmente deducible, se imputará en la base imponible del período impositivo en el que se haya producido dicha r</w:t>
      </w:r>
      <w:r w:rsidR="00A42A54">
        <w:rPr>
          <w:color w:val="FF0000"/>
          <w:sz w:val="22"/>
          <w:szCs w:val="22"/>
        </w:rPr>
        <w:t xml:space="preserve">eversión. </w:t>
      </w:r>
      <w:proofErr w:type="gramStart"/>
      <w:r w:rsidRPr="0021146A">
        <w:rPr>
          <w:color w:val="FF0000"/>
          <w:sz w:val="22"/>
          <w:szCs w:val="22"/>
        </w:rPr>
        <w:t>(</w:t>
      </w:r>
      <w:proofErr w:type="gramEnd"/>
      <w:r w:rsidRPr="0021146A">
        <w:rPr>
          <w:color w:val="FF0000"/>
          <w:sz w:val="22"/>
          <w:szCs w:val="22"/>
        </w:rPr>
        <w:t>Art. 11.6 LIS)</w:t>
      </w:r>
    </w:p>
    <w:p w:rsidR="006A4531" w:rsidRPr="0021146A" w:rsidRDefault="001B41B7" w:rsidP="006A4531">
      <w:pPr>
        <w:pStyle w:val="parrafo"/>
        <w:spacing w:before="180" w:beforeAutospacing="0" w:after="180" w:afterAutospacing="0"/>
        <w:ind w:left="720"/>
        <w:jc w:val="both"/>
        <w:rPr>
          <w:color w:val="FF0000"/>
          <w:sz w:val="22"/>
          <w:szCs w:val="22"/>
        </w:rPr>
      </w:pPr>
      <w:r w:rsidRPr="0021146A">
        <w:rPr>
          <w:color w:val="FF0000"/>
          <w:sz w:val="22"/>
          <w:szCs w:val="22"/>
        </w:rPr>
        <w:t xml:space="preserve">5. </w:t>
      </w:r>
      <w:r w:rsidR="006A4531" w:rsidRPr="0021146A">
        <w:rPr>
          <w:color w:val="FF0000"/>
          <w:sz w:val="22"/>
          <w:szCs w:val="22"/>
        </w:rPr>
        <w:t>Cuando se eliminen provisiones, por no haberse aplicado a su finalidad, sin abono a una cuenta de ingresos del ejercicio, su importe se integrará en la base imponible de la entidad que las hubiese dotado, en la medida en que dicha dotación se hubi</w:t>
      </w:r>
      <w:r w:rsidR="003829C9" w:rsidRPr="0021146A">
        <w:rPr>
          <w:color w:val="FF0000"/>
          <w:sz w:val="22"/>
          <w:szCs w:val="22"/>
        </w:rPr>
        <w:t>ese considerado gasto deducible (Art. 11.7 LIS)</w:t>
      </w:r>
    </w:p>
    <w:p w:rsidR="006A4531" w:rsidRPr="0021146A" w:rsidRDefault="003829C9" w:rsidP="006A4531">
      <w:pPr>
        <w:pStyle w:val="parrafo"/>
        <w:spacing w:before="180" w:beforeAutospacing="0" w:after="180" w:afterAutospacing="0"/>
        <w:ind w:left="720"/>
        <w:jc w:val="both"/>
        <w:rPr>
          <w:color w:val="FF0000"/>
          <w:sz w:val="22"/>
          <w:szCs w:val="22"/>
        </w:rPr>
      </w:pPr>
      <w:r w:rsidRPr="0021146A">
        <w:rPr>
          <w:color w:val="FF0000"/>
          <w:sz w:val="22"/>
          <w:szCs w:val="22"/>
        </w:rPr>
        <w:t xml:space="preserve">6. </w:t>
      </w:r>
      <w:r w:rsidR="006A4531" w:rsidRPr="0021146A">
        <w:rPr>
          <w:color w:val="FF0000"/>
          <w:sz w:val="22"/>
          <w:szCs w:val="22"/>
        </w:rPr>
        <w:t>Cuando la entidad sea beneficiaria o tenga reconocido el derecho de rescate de contratos de seguro de vida en los que, además, asuma el riesgo de inversión, integrará en todo caso en la base imponible la diferencia entre el valor liquidativo de los activos afectos a la póliza al final y al comi</w:t>
      </w:r>
      <w:r w:rsidRPr="0021146A">
        <w:rPr>
          <w:color w:val="FF0000"/>
          <w:sz w:val="22"/>
          <w:szCs w:val="22"/>
        </w:rPr>
        <w:t>enzo de cada período impositivo (Art. 11.8 LIS)</w:t>
      </w:r>
    </w:p>
    <w:p w:rsidR="006A4531" w:rsidRPr="0021146A" w:rsidRDefault="003829C9" w:rsidP="006A4531">
      <w:pPr>
        <w:pStyle w:val="parrafo"/>
        <w:spacing w:before="180" w:beforeAutospacing="0" w:after="180" w:afterAutospacing="0"/>
        <w:ind w:left="720"/>
        <w:jc w:val="both"/>
        <w:rPr>
          <w:color w:val="FF0000"/>
          <w:sz w:val="22"/>
          <w:szCs w:val="22"/>
        </w:rPr>
      </w:pPr>
      <w:r w:rsidRPr="0021146A">
        <w:rPr>
          <w:color w:val="FF0000"/>
          <w:sz w:val="22"/>
          <w:szCs w:val="22"/>
        </w:rPr>
        <w:t xml:space="preserve">7. </w:t>
      </w:r>
      <w:r w:rsidR="006A4531" w:rsidRPr="0021146A">
        <w:rPr>
          <w:color w:val="FF0000"/>
          <w:sz w:val="22"/>
          <w:szCs w:val="22"/>
        </w:rPr>
        <w:t xml:space="preserve">Las rentas negativas generadas en la transmisión de elementos del inmovilizado material, inversiones inmobiliarias, inmovilizado intangible y valores representativos de deuda, cuando el adquirente sea una entidad del mismo grupo de sociedades según los criterios establecidos en el artículo 42 del Código de Comercio, con independencia de la residencia y de la obligación de formular cuentas anuales consolidadas, se imputarán en el período impositivo en que dichos elementos patrimoniales sean dados de baja en el balance de la entidad adquirente, sean transmitidos a terceros ajenos al referido grupo de sociedades, o bien cuando la entidad transmitente o la adquirente </w:t>
      </w:r>
      <w:r w:rsidRPr="0021146A">
        <w:rPr>
          <w:color w:val="FF0000"/>
          <w:sz w:val="22"/>
          <w:szCs w:val="22"/>
        </w:rPr>
        <w:t>dejen de formar parte del mismo (Art. 11.9 LIS)</w:t>
      </w:r>
    </w:p>
    <w:p w:rsidR="003829C9" w:rsidRPr="0021146A" w:rsidRDefault="00481833" w:rsidP="00A42A54">
      <w:pPr>
        <w:pStyle w:val="parrafo"/>
        <w:spacing w:before="180" w:beforeAutospacing="0" w:after="180" w:afterAutospacing="0"/>
        <w:ind w:left="720"/>
        <w:jc w:val="both"/>
        <w:rPr>
          <w:color w:val="FF0000"/>
          <w:sz w:val="22"/>
          <w:szCs w:val="22"/>
        </w:rPr>
      </w:pPr>
      <w:r w:rsidRPr="0021146A">
        <w:rPr>
          <w:color w:val="FF0000"/>
          <w:sz w:val="22"/>
          <w:szCs w:val="22"/>
        </w:rPr>
        <w:lastRenderedPageBreak/>
        <w:t xml:space="preserve">8. </w:t>
      </w:r>
      <w:r w:rsidR="003829C9" w:rsidRPr="0021146A">
        <w:rPr>
          <w:color w:val="FF0000"/>
          <w:sz w:val="22"/>
          <w:szCs w:val="22"/>
        </w:rPr>
        <w:t>Las rentas negativas derivadas de la transmisión de valores representativos de la participación en el capital o en los fondos propios de entidades, cuando el adquirente sea una entidad del mismo grupo de sociedades según los criterios establecidos en el artículo 42 del Código de Comercio, con independencia de la residencia y de la obligación de formular cuentas anuales consolidadas, se imputarán en el período impositivo en que dichos elementos patrimoniales sean transmitidos a terceros ajenos al referido grupo de sociedades, o bien cuando la entidad transmitente o la adquirente dejen de formar parte del mismo, minoradas en el importe de las rentas positivas obtenidas en dicha transmisión a terceros, siempre que, respecto de l</w:t>
      </w:r>
      <w:r w:rsidR="00A42A54">
        <w:rPr>
          <w:color w:val="FF0000"/>
          <w:sz w:val="22"/>
          <w:szCs w:val="22"/>
        </w:rPr>
        <w:t>os valores transmitidos, con el cumplimiento de ciertos requisitos.</w:t>
      </w:r>
      <w:r w:rsidRPr="0021146A">
        <w:rPr>
          <w:color w:val="FF0000"/>
          <w:sz w:val="22"/>
          <w:szCs w:val="22"/>
        </w:rPr>
        <w:t xml:space="preserve"> (Art. 11.9 LIS)</w:t>
      </w:r>
    </w:p>
    <w:p w:rsidR="003829C9" w:rsidRPr="0021146A" w:rsidRDefault="00481833" w:rsidP="00481833">
      <w:pPr>
        <w:pStyle w:val="parrafo"/>
        <w:spacing w:before="180" w:beforeAutospacing="0" w:after="180" w:afterAutospacing="0"/>
        <w:ind w:left="708"/>
        <w:jc w:val="both"/>
        <w:rPr>
          <w:color w:val="FF0000"/>
          <w:sz w:val="22"/>
          <w:szCs w:val="22"/>
        </w:rPr>
      </w:pPr>
      <w:r w:rsidRPr="0021146A">
        <w:rPr>
          <w:color w:val="FF0000"/>
          <w:sz w:val="22"/>
          <w:szCs w:val="22"/>
        </w:rPr>
        <w:t xml:space="preserve">9. </w:t>
      </w:r>
      <w:r w:rsidR="003829C9" w:rsidRPr="0021146A">
        <w:rPr>
          <w:color w:val="FF0000"/>
          <w:sz w:val="22"/>
          <w:szCs w:val="22"/>
        </w:rPr>
        <w:t xml:space="preserve">Las dotaciones por deterioro de los créditos u otros activos derivadas de las posibles insolvencias de los deudores no vinculados con el contribuyente, no adeudados por entidades </w:t>
      </w:r>
      <w:r w:rsidR="00A42A54">
        <w:rPr>
          <w:color w:val="FF0000"/>
          <w:sz w:val="22"/>
          <w:szCs w:val="22"/>
        </w:rPr>
        <w:t xml:space="preserve">de derecho público, </w:t>
      </w:r>
      <w:r w:rsidR="003829C9" w:rsidRPr="0021146A">
        <w:rPr>
          <w:color w:val="FF0000"/>
          <w:sz w:val="22"/>
          <w:szCs w:val="22"/>
        </w:rPr>
        <w:t>así como los correspondientes a dotaciones o aportaciones a sistemas de previsión social y, en su caso, prejubilación, se integrarán en la base imponible de acuerdo con lo establecido en esta Ley, con el límite del 70 por ciento de la base imponible p</w:t>
      </w:r>
      <w:r w:rsidR="00A42A54">
        <w:rPr>
          <w:color w:val="FF0000"/>
          <w:sz w:val="22"/>
          <w:szCs w:val="22"/>
        </w:rPr>
        <w:t>ositiva previa a su integración</w:t>
      </w:r>
      <w:r w:rsidR="003829C9" w:rsidRPr="0021146A">
        <w:rPr>
          <w:color w:val="FF0000"/>
          <w:sz w:val="22"/>
          <w:szCs w:val="22"/>
        </w:rPr>
        <w:t>.</w:t>
      </w:r>
      <w:r w:rsidRPr="0021146A">
        <w:rPr>
          <w:color w:val="FF0000"/>
          <w:sz w:val="22"/>
          <w:szCs w:val="22"/>
        </w:rPr>
        <w:t xml:space="preserve"> (Art. 11.2 LIS)</w:t>
      </w:r>
    </w:p>
    <w:p w:rsidR="003829C9" w:rsidRPr="0021146A" w:rsidRDefault="00481833" w:rsidP="00481833">
      <w:pPr>
        <w:pStyle w:val="parrafo"/>
        <w:spacing w:before="180" w:beforeAutospacing="0" w:after="180" w:afterAutospacing="0"/>
        <w:ind w:left="708"/>
        <w:jc w:val="both"/>
        <w:rPr>
          <w:color w:val="FF0000"/>
          <w:sz w:val="22"/>
          <w:szCs w:val="22"/>
        </w:rPr>
      </w:pPr>
      <w:r w:rsidRPr="0021146A">
        <w:rPr>
          <w:color w:val="FF0000"/>
          <w:sz w:val="22"/>
          <w:szCs w:val="22"/>
        </w:rPr>
        <w:t xml:space="preserve">10. </w:t>
      </w:r>
      <w:r w:rsidR="003829C9" w:rsidRPr="0021146A">
        <w:rPr>
          <w:color w:val="FF0000"/>
          <w:sz w:val="22"/>
          <w:szCs w:val="22"/>
        </w:rPr>
        <w:t>El ingreso correspondiente al registro contable de quitas y esperas consecuencia de la aplicación de la Ley 22/2003, de 9 de julio, Concursal, se imputará en la base imponible del deudor a medida que proceda registrar con posterioridad gastos financieros derivados de la misma deuda y has</w:t>
      </w:r>
      <w:r w:rsidRPr="0021146A">
        <w:rPr>
          <w:color w:val="FF0000"/>
          <w:sz w:val="22"/>
          <w:szCs w:val="22"/>
        </w:rPr>
        <w:t>ta el límite del citado ingreso (Art. 11.3 LIS)</w:t>
      </w:r>
    </w:p>
    <w:p w:rsidR="00481833" w:rsidRPr="0021146A" w:rsidRDefault="00481833" w:rsidP="00481833">
      <w:pPr>
        <w:pStyle w:val="parrafo"/>
        <w:spacing w:before="180" w:beforeAutospacing="0" w:after="180" w:afterAutospacing="0"/>
        <w:ind w:left="708"/>
        <w:jc w:val="both"/>
        <w:rPr>
          <w:color w:val="FF0000"/>
          <w:sz w:val="22"/>
          <w:szCs w:val="22"/>
        </w:rPr>
      </w:pPr>
      <w:r w:rsidRPr="0021146A">
        <w:rPr>
          <w:color w:val="FF0000"/>
          <w:sz w:val="22"/>
          <w:szCs w:val="22"/>
        </w:rPr>
        <w:t>11. Los gastos por provisiones y fondos internos para la cobertura de contingencias idénticas o análogas los Planes y Fondos de Pensiones, serán fiscalmente deducibles en el período impositivo en que se abonen las prestaciones.</w:t>
      </w:r>
      <w:r w:rsidR="00E25B7D" w:rsidRPr="0021146A">
        <w:rPr>
          <w:color w:val="FF0000"/>
          <w:sz w:val="22"/>
          <w:szCs w:val="22"/>
        </w:rPr>
        <w:t xml:space="preserve"> (Art. 14.1 LIS)</w:t>
      </w:r>
    </w:p>
    <w:p w:rsidR="00731F8A" w:rsidRPr="0021146A" w:rsidRDefault="00E25B7D" w:rsidP="00481833">
      <w:pPr>
        <w:pStyle w:val="parrafo"/>
        <w:spacing w:before="180" w:beforeAutospacing="0" w:after="180" w:afterAutospacing="0"/>
        <w:ind w:left="708"/>
        <w:jc w:val="both"/>
        <w:rPr>
          <w:color w:val="FF0000"/>
          <w:sz w:val="22"/>
          <w:szCs w:val="22"/>
          <w:shd w:val="clear" w:color="auto" w:fill="FFFFFF"/>
        </w:rPr>
      </w:pPr>
      <w:r w:rsidRPr="0021146A">
        <w:rPr>
          <w:color w:val="FF0000"/>
          <w:sz w:val="22"/>
          <w:szCs w:val="22"/>
          <w:shd w:val="clear" w:color="auto" w:fill="FFFFFF"/>
        </w:rPr>
        <w:t>12. Los gastos de personal que se correspondan con pagos basados en instrumentos de patrimonio, utilizados como fórmula de retribución a los empleados, y se satisfagan mediante la entrega de los mismos, serán fiscalmente deducibles cuando se produzca esta entrega. (Art. 14.6 LIS)</w:t>
      </w:r>
    </w:p>
    <w:p w:rsidR="00E25B7D" w:rsidRPr="0021146A" w:rsidRDefault="00E25B7D" w:rsidP="00E25B7D">
      <w:pPr>
        <w:pStyle w:val="parrafo"/>
        <w:spacing w:before="180" w:beforeAutospacing="0" w:after="180" w:afterAutospacing="0"/>
        <w:ind w:left="708"/>
        <w:jc w:val="both"/>
        <w:rPr>
          <w:color w:val="FF0000"/>
          <w:sz w:val="22"/>
          <w:szCs w:val="22"/>
        </w:rPr>
      </w:pPr>
      <w:r w:rsidRPr="0021146A">
        <w:rPr>
          <w:color w:val="FF0000"/>
          <w:sz w:val="22"/>
          <w:szCs w:val="22"/>
        </w:rPr>
        <w:t>13. Cuando un elemento patrimonial o un servicio tengan diferente valoración contable y fiscal, la entidad adquirente de aquél integrará en su base imponible la diferencia entre ambas, de la siguiente manera (Art. 20 LIS:</w:t>
      </w:r>
    </w:p>
    <w:p w:rsidR="00E25B7D" w:rsidRPr="0021146A" w:rsidRDefault="00E25B7D" w:rsidP="00E25B7D">
      <w:pPr>
        <w:pStyle w:val="parrafo2"/>
        <w:spacing w:before="360" w:beforeAutospacing="0" w:after="180" w:afterAutospacing="0"/>
        <w:ind w:left="708"/>
        <w:jc w:val="both"/>
        <w:rPr>
          <w:color w:val="FF0000"/>
          <w:sz w:val="22"/>
          <w:szCs w:val="22"/>
        </w:rPr>
      </w:pPr>
      <w:r w:rsidRPr="0021146A">
        <w:rPr>
          <w:color w:val="FF0000"/>
          <w:sz w:val="22"/>
          <w:szCs w:val="22"/>
        </w:rPr>
        <w:t>a) Tratándose de elementos patrimoniales integrantes del activo circulante, en el período impositivo en que éstos motiven el devengo de un ingreso o un gasto.</w:t>
      </w:r>
    </w:p>
    <w:p w:rsidR="00E25B7D" w:rsidRPr="0021146A" w:rsidRDefault="00E25B7D" w:rsidP="00E25B7D">
      <w:pPr>
        <w:pStyle w:val="parrafo"/>
        <w:spacing w:before="180" w:beforeAutospacing="0" w:after="180" w:afterAutospacing="0"/>
        <w:ind w:left="708"/>
        <w:jc w:val="both"/>
        <w:rPr>
          <w:color w:val="FF0000"/>
          <w:sz w:val="22"/>
          <w:szCs w:val="22"/>
        </w:rPr>
      </w:pPr>
      <w:r w:rsidRPr="0021146A">
        <w:rPr>
          <w:color w:val="FF0000"/>
          <w:sz w:val="22"/>
          <w:szCs w:val="22"/>
        </w:rPr>
        <w:t>b) Tratándose de elementos patrimoniales no amortizables integrantes del inmovilizado, en el período impositivo en que éstos se transmitan o se den de baja.</w:t>
      </w:r>
    </w:p>
    <w:p w:rsidR="00E25B7D" w:rsidRPr="0021146A" w:rsidRDefault="00E25B7D" w:rsidP="00E25B7D">
      <w:pPr>
        <w:pStyle w:val="parrafo"/>
        <w:spacing w:before="180" w:beforeAutospacing="0" w:after="180" w:afterAutospacing="0"/>
        <w:ind w:left="708"/>
        <w:jc w:val="both"/>
        <w:rPr>
          <w:color w:val="FF0000"/>
          <w:sz w:val="22"/>
          <w:szCs w:val="22"/>
        </w:rPr>
      </w:pPr>
      <w:r w:rsidRPr="0021146A">
        <w:rPr>
          <w:color w:val="FF0000"/>
          <w:sz w:val="22"/>
          <w:szCs w:val="22"/>
        </w:rPr>
        <w:t>c) Tratándose de elementos patrimoniales amortizables integrantes del inmovilizado, en los períodos impositivos que resten de vida útil, aplicando a la citada diferencia el método de amortización utilizado respecto de los referidos elementos, salvo que sean objeto de transmisión o baja con anterioridad, en cuyo caso, se integrará con ocasión de la misma.</w:t>
      </w:r>
    </w:p>
    <w:p w:rsidR="00E25B7D" w:rsidRPr="0021146A" w:rsidRDefault="00E25B7D" w:rsidP="00E25B7D">
      <w:pPr>
        <w:pStyle w:val="parrafo"/>
        <w:spacing w:before="180" w:beforeAutospacing="0" w:after="180" w:afterAutospacing="0"/>
        <w:ind w:left="708"/>
        <w:jc w:val="both"/>
        <w:rPr>
          <w:color w:val="FF0000"/>
          <w:sz w:val="22"/>
          <w:szCs w:val="22"/>
        </w:rPr>
      </w:pPr>
      <w:r w:rsidRPr="0021146A">
        <w:rPr>
          <w:color w:val="FF0000"/>
          <w:sz w:val="22"/>
          <w:szCs w:val="22"/>
        </w:rPr>
        <w:t>d) Tratándose de servicios, en el período impositivo en que se reciban, excepto que su importe deba incorporarse a un elemento patrimonial en cuyo caso se estará a lo previsto en los párrafos anteriores.</w:t>
      </w:r>
    </w:p>
    <w:p w:rsidR="00761FA4" w:rsidRPr="00707CC8" w:rsidRDefault="00E25B7D" w:rsidP="00707CC8">
      <w:pPr>
        <w:pStyle w:val="parrafo"/>
        <w:spacing w:before="180" w:beforeAutospacing="0" w:after="180" w:afterAutospacing="0"/>
        <w:ind w:left="708"/>
        <w:jc w:val="both"/>
        <w:rPr>
          <w:color w:val="FF0000"/>
          <w:sz w:val="22"/>
          <w:szCs w:val="22"/>
        </w:rPr>
      </w:pPr>
      <w:r w:rsidRPr="0021146A">
        <w:rPr>
          <w:color w:val="FF0000"/>
          <w:sz w:val="22"/>
          <w:szCs w:val="22"/>
        </w:rPr>
        <w:t xml:space="preserve">14. En </w:t>
      </w:r>
      <w:r w:rsidR="0021146A" w:rsidRPr="0021146A">
        <w:rPr>
          <w:color w:val="FF0000"/>
          <w:sz w:val="22"/>
          <w:szCs w:val="22"/>
        </w:rPr>
        <w:t>los casos de descubrimiento de elementos patrimoniales no contabilizados, el importe de la renta procedente se imputará al periodo impositivo  más antiguo de entre los no prescritos, excepto que el contribuyente pruebe que correspond</w:t>
      </w:r>
      <w:r w:rsidR="00A42A54">
        <w:rPr>
          <w:color w:val="FF0000"/>
          <w:sz w:val="22"/>
          <w:szCs w:val="22"/>
        </w:rPr>
        <w:t>e a otro u otros (Art. 12 LIS)</w:t>
      </w:r>
    </w:p>
    <w:p w:rsidR="00D80DBB" w:rsidRDefault="00D80DBB" w:rsidP="0021146A">
      <w:pPr>
        <w:pStyle w:val="Prrafodelista"/>
        <w:numPr>
          <w:ilvl w:val="1"/>
          <w:numId w:val="1"/>
        </w:numPr>
        <w:rPr>
          <w:lang w:eastAsia="es-ES"/>
        </w:rPr>
      </w:pPr>
      <w:r>
        <w:rPr>
          <w:lang w:eastAsia="es-ES"/>
        </w:rPr>
        <w:lastRenderedPageBreak/>
        <w:t>LIMITACIÓN DE LA DEDUCIBILIDAD DE GASTOS</w:t>
      </w:r>
    </w:p>
    <w:p w:rsidR="00D80DBB" w:rsidRDefault="00D80DBB" w:rsidP="00D80DBB">
      <w:pPr>
        <w:rPr>
          <w:lang w:eastAsia="es-ES"/>
        </w:rPr>
      </w:pPr>
      <w:r>
        <w:rPr>
          <w:lang w:eastAsia="es-ES"/>
        </w:rPr>
        <w:t>La LIS establece una serie de preceptos</w:t>
      </w:r>
      <w:r w:rsidR="0021146A">
        <w:rPr>
          <w:lang w:eastAsia="es-ES"/>
        </w:rPr>
        <w:t xml:space="preserve"> para corregir el resultado </w:t>
      </w:r>
      <w:proofErr w:type="gramStart"/>
      <w:r w:rsidR="0021146A">
        <w:rPr>
          <w:lang w:eastAsia="es-ES"/>
        </w:rPr>
        <w:t xml:space="preserve">contable </w:t>
      </w:r>
      <w:r>
        <w:rPr>
          <w:lang w:eastAsia="es-ES"/>
        </w:rPr>
        <w:t>:</w:t>
      </w:r>
      <w:proofErr w:type="gramEnd"/>
    </w:p>
    <w:p w:rsidR="00D80DBB" w:rsidRDefault="00D80DBB" w:rsidP="0021146A">
      <w:pPr>
        <w:pStyle w:val="Prrafodelista"/>
        <w:numPr>
          <w:ilvl w:val="2"/>
          <w:numId w:val="1"/>
        </w:numPr>
        <w:rPr>
          <w:lang w:eastAsia="es-ES"/>
        </w:rPr>
      </w:pPr>
      <w:r>
        <w:rPr>
          <w:lang w:eastAsia="es-ES"/>
        </w:rPr>
        <w:t>Amortizaciones (art 12 LIS)</w:t>
      </w:r>
    </w:p>
    <w:p w:rsidR="00D80DBB" w:rsidRDefault="00D80DBB" w:rsidP="00D80DBB">
      <w:pPr>
        <w:rPr>
          <w:lang w:eastAsia="es-ES"/>
        </w:rPr>
      </w:pPr>
      <w:r>
        <w:rPr>
          <w:lang w:eastAsia="es-ES"/>
        </w:rPr>
        <w:t xml:space="preserve">Serán deducibles las cantidades que correspondan a la depreciación efectiva que sufran los distintos elementos por </w:t>
      </w:r>
      <w:r w:rsidR="005E4266">
        <w:rPr>
          <w:lang w:eastAsia="es-ES"/>
        </w:rPr>
        <w:t>funcionamiento</w:t>
      </w:r>
      <w:r>
        <w:rPr>
          <w:lang w:eastAsia="es-ES"/>
        </w:rPr>
        <w:t>, uso</w:t>
      </w:r>
      <w:r w:rsidR="00FC1DA0">
        <w:rPr>
          <w:lang w:eastAsia="es-ES"/>
        </w:rPr>
        <w:t>,</w:t>
      </w:r>
      <w:r>
        <w:rPr>
          <w:lang w:eastAsia="es-ES"/>
        </w:rPr>
        <w:t xml:space="preserve"> disfrute u obsolescencia.</w:t>
      </w:r>
    </w:p>
    <w:p w:rsidR="00D80DBB" w:rsidRDefault="00D80DBB" w:rsidP="00D80DBB">
      <w:pPr>
        <w:rPr>
          <w:lang w:eastAsia="es-ES"/>
        </w:rPr>
      </w:pPr>
      <w:r>
        <w:rPr>
          <w:lang w:eastAsia="es-ES"/>
        </w:rPr>
        <w:t xml:space="preserve">Se considerará que la depreciación </w:t>
      </w:r>
      <w:r w:rsidR="005E4266">
        <w:rPr>
          <w:lang w:eastAsia="es-ES"/>
        </w:rPr>
        <w:t>e</w:t>
      </w:r>
      <w:r>
        <w:rPr>
          <w:lang w:eastAsia="es-ES"/>
        </w:rPr>
        <w:t>s efectiva cuando:</w:t>
      </w:r>
    </w:p>
    <w:p w:rsidR="00D80DBB" w:rsidRDefault="00D80DBB" w:rsidP="00D80DBB">
      <w:pPr>
        <w:pStyle w:val="Prrafodelista"/>
        <w:numPr>
          <w:ilvl w:val="0"/>
          <w:numId w:val="9"/>
        </w:numPr>
        <w:rPr>
          <w:lang w:eastAsia="es-ES"/>
        </w:rPr>
      </w:pPr>
      <w:r>
        <w:rPr>
          <w:lang w:eastAsia="es-ES"/>
        </w:rPr>
        <w:t>Sea el resultado de</w:t>
      </w:r>
      <w:r w:rsidR="005E4266">
        <w:rPr>
          <w:lang w:eastAsia="es-ES"/>
        </w:rPr>
        <w:t xml:space="preserve"> </w:t>
      </w:r>
      <w:r>
        <w:rPr>
          <w:lang w:eastAsia="es-ES"/>
        </w:rPr>
        <w:t>aplicar los coeficientes de amortización lineal establecidos en la tabla del artículo 12 de la LIS.</w:t>
      </w:r>
    </w:p>
    <w:p w:rsidR="00D80DBB" w:rsidRDefault="00D80DBB" w:rsidP="00D80DBB">
      <w:pPr>
        <w:pStyle w:val="Prrafodelista"/>
        <w:numPr>
          <w:ilvl w:val="0"/>
          <w:numId w:val="9"/>
        </w:numPr>
        <w:rPr>
          <w:lang w:eastAsia="es-ES"/>
        </w:rPr>
      </w:pPr>
      <w:r>
        <w:rPr>
          <w:lang w:eastAsia="es-ES"/>
        </w:rPr>
        <w:t xml:space="preserve">Sea el resultado de aplicar un porcentaje constante sobre el valor pendiente de amortización, no podrá ser inferior al 11, se determinará ponderando el coeficiente de </w:t>
      </w:r>
      <w:r w:rsidR="005E4266">
        <w:rPr>
          <w:lang w:eastAsia="es-ES"/>
        </w:rPr>
        <w:t>amortización</w:t>
      </w:r>
      <w:r>
        <w:rPr>
          <w:lang w:eastAsia="es-ES"/>
        </w:rPr>
        <w:t xml:space="preserve"> lineal según </w:t>
      </w:r>
      <w:r w:rsidR="005E4266">
        <w:rPr>
          <w:lang w:eastAsia="es-ES"/>
        </w:rPr>
        <w:t>tablas</w:t>
      </w:r>
      <w:r>
        <w:rPr>
          <w:lang w:eastAsia="es-ES"/>
        </w:rPr>
        <w:t xml:space="preserve"> por los siguientes coeficientes:</w:t>
      </w:r>
    </w:p>
    <w:p w:rsidR="00D80DBB" w:rsidRDefault="00D80DBB" w:rsidP="005E4266">
      <w:pPr>
        <w:pStyle w:val="Prrafodelista"/>
        <w:numPr>
          <w:ilvl w:val="1"/>
          <w:numId w:val="2"/>
        </w:numPr>
        <w:rPr>
          <w:lang w:eastAsia="es-ES"/>
        </w:rPr>
      </w:pPr>
      <w:r>
        <w:rPr>
          <w:lang w:eastAsia="es-ES"/>
        </w:rPr>
        <w:t>1,5 si el elemento tiene un periodo de amortización inferior a 5 años.</w:t>
      </w:r>
    </w:p>
    <w:p w:rsidR="00D80DBB" w:rsidRDefault="00D80DBB" w:rsidP="005E4266">
      <w:pPr>
        <w:pStyle w:val="Prrafodelista"/>
        <w:numPr>
          <w:ilvl w:val="1"/>
          <w:numId w:val="2"/>
        </w:numPr>
        <w:rPr>
          <w:lang w:eastAsia="es-ES"/>
        </w:rPr>
      </w:pPr>
      <w:r>
        <w:rPr>
          <w:lang w:eastAsia="es-ES"/>
        </w:rPr>
        <w:t>2 si el elemento tiene un periodo de amortización entre 5 y 8 (5&lt;= x &lt;8)</w:t>
      </w:r>
    </w:p>
    <w:p w:rsidR="00D80DBB" w:rsidRDefault="00D80DBB" w:rsidP="005E4266">
      <w:pPr>
        <w:pStyle w:val="Prrafodelista"/>
        <w:numPr>
          <w:ilvl w:val="1"/>
          <w:numId w:val="2"/>
        </w:numPr>
        <w:rPr>
          <w:lang w:eastAsia="es-ES"/>
        </w:rPr>
      </w:pPr>
      <w:r>
        <w:rPr>
          <w:lang w:eastAsia="es-ES"/>
        </w:rPr>
        <w:t>2.5 si el elemento tiene un periodo de amortización superior a 8.</w:t>
      </w:r>
    </w:p>
    <w:p w:rsidR="00D80DBB" w:rsidRDefault="00D80DBB" w:rsidP="00D80DBB">
      <w:pPr>
        <w:pStyle w:val="Prrafodelista"/>
        <w:numPr>
          <w:ilvl w:val="0"/>
          <w:numId w:val="9"/>
        </w:numPr>
        <w:rPr>
          <w:lang w:eastAsia="es-ES"/>
        </w:rPr>
      </w:pPr>
      <w:r>
        <w:rPr>
          <w:lang w:eastAsia="es-ES"/>
        </w:rPr>
        <w:t>Sea el resultado de aplicar el método de los números dígitos. La suma de dígitos se determinará en función del periodo de amortización según tablas. Los edificios, mobiliario y enseres no podrán acogerse a este sistema.</w:t>
      </w:r>
    </w:p>
    <w:p w:rsidR="00D80DBB" w:rsidRDefault="00D80DBB" w:rsidP="00D80DBB">
      <w:pPr>
        <w:pStyle w:val="Prrafodelista"/>
        <w:numPr>
          <w:ilvl w:val="0"/>
          <w:numId w:val="9"/>
        </w:numPr>
        <w:rPr>
          <w:lang w:eastAsia="es-ES"/>
        </w:rPr>
      </w:pPr>
      <w:r>
        <w:rPr>
          <w:lang w:eastAsia="es-ES"/>
        </w:rPr>
        <w:t xml:space="preserve">Se ajuste a un plan formulado por el </w:t>
      </w:r>
      <w:r w:rsidR="005E4266">
        <w:rPr>
          <w:lang w:eastAsia="es-ES"/>
        </w:rPr>
        <w:t>contribuyente</w:t>
      </w:r>
      <w:r>
        <w:rPr>
          <w:lang w:eastAsia="es-ES"/>
        </w:rPr>
        <w:t xml:space="preserve"> y aceptado con la Administración Tributaria.</w:t>
      </w:r>
    </w:p>
    <w:p w:rsidR="00D80DBB" w:rsidRDefault="00D80DBB" w:rsidP="005E4266">
      <w:pPr>
        <w:pStyle w:val="Prrafodelista"/>
        <w:numPr>
          <w:ilvl w:val="0"/>
          <w:numId w:val="9"/>
        </w:numPr>
        <w:rPr>
          <w:lang w:eastAsia="es-ES"/>
        </w:rPr>
      </w:pPr>
      <w:r>
        <w:rPr>
          <w:lang w:eastAsia="es-ES"/>
        </w:rPr>
        <w:t>El contribuyente justifique su importe.</w:t>
      </w:r>
    </w:p>
    <w:p w:rsidR="00D80DBB" w:rsidRDefault="00E44065" w:rsidP="00E614BA">
      <w:pPr>
        <w:rPr>
          <w:lang w:eastAsia="es-ES"/>
        </w:rPr>
      </w:pPr>
      <w:r>
        <w:rPr>
          <w:lang w:eastAsia="es-ES"/>
        </w:rPr>
        <w:t xml:space="preserve"> </w:t>
      </w:r>
      <w:r w:rsidR="00D80DBB">
        <w:rPr>
          <w:lang w:eastAsia="es-ES"/>
        </w:rPr>
        <w:t>Supuestos especiales</w:t>
      </w:r>
    </w:p>
    <w:p w:rsidR="00D80DBB" w:rsidRDefault="00D80DBB" w:rsidP="00D80DBB">
      <w:pPr>
        <w:pStyle w:val="Prrafodelista"/>
        <w:numPr>
          <w:ilvl w:val="0"/>
          <w:numId w:val="10"/>
        </w:numPr>
        <w:rPr>
          <w:lang w:eastAsia="es-ES"/>
        </w:rPr>
      </w:pPr>
      <w:r>
        <w:rPr>
          <w:lang w:eastAsia="es-ES"/>
        </w:rPr>
        <w:t xml:space="preserve">Inmovilizado intangible: se amortizará según su vida útil. </w:t>
      </w:r>
      <w:r w:rsidR="00AD3C30">
        <w:rPr>
          <w:lang w:eastAsia="es-ES"/>
        </w:rPr>
        <w:t>Cuando</w:t>
      </w:r>
      <w:r>
        <w:rPr>
          <w:lang w:eastAsia="es-ES"/>
        </w:rPr>
        <w:t xml:space="preserve"> no</w:t>
      </w:r>
      <w:r w:rsidR="00AD3C30">
        <w:rPr>
          <w:lang w:eastAsia="es-ES"/>
        </w:rPr>
        <w:t xml:space="preserve"> </w:t>
      </w:r>
      <w:r>
        <w:rPr>
          <w:lang w:eastAsia="es-ES"/>
        </w:rPr>
        <w:t>se pueda estimar la amortización será deducible con el límite anual máximo de la veinteava parte de su importe</w:t>
      </w:r>
      <w:r w:rsidR="00AD3C30">
        <w:rPr>
          <w:lang w:eastAsia="es-ES"/>
        </w:rPr>
        <w:t>, al igual que el fondo de comercio</w:t>
      </w:r>
      <w:r>
        <w:rPr>
          <w:lang w:eastAsia="es-ES"/>
        </w:rPr>
        <w:t xml:space="preserve">. </w:t>
      </w:r>
    </w:p>
    <w:p w:rsidR="00AD3C30" w:rsidRDefault="00AD3C30" w:rsidP="00D80DBB">
      <w:pPr>
        <w:pStyle w:val="Prrafodelista"/>
        <w:numPr>
          <w:ilvl w:val="0"/>
          <w:numId w:val="10"/>
        </w:numPr>
        <w:rPr>
          <w:lang w:eastAsia="es-ES"/>
        </w:rPr>
      </w:pPr>
      <w:r>
        <w:rPr>
          <w:lang w:eastAsia="es-ES"/>
        </w:rPr>
        <w:t>Libertad de amortización. Para los siguientes elementos</w:t>
      </w:r>
      <w:r w:rsidR="005E4266">
        <w:rPr>
          <w:lang w:eastAsia="es-ES"/>
        </w:rPr>
        <w:t>, entre otros</w:t>
      </w:r>
      <w:r>
        <w:rPr>
          <w:lang w:eastAsia="es-ES"/>
        </w:rPr>
        <w:t>:</w:t>
      </w:r>
    </w:p>
    <w:p w:rsidR="00AD3C30" w:rsidRDefault="00AD3C30" w:rsidP="001B41B7">
      <w:pPr>
        <w:pStyle w:val="Prrafodelista"/>
        <w:numPr>
          <w:ilvl w:val="0"/>
          <w:numId w:val="11"/>
        </w:numPr>
        <w:rPr>
          <w:lang w:eastAsia="es-ES"/>
        </w:rPr>
      </w:pPr>
      <w:r>
        <w:rPr>
          <w:lang w:eastAsia="es-ES"/>
        </w:rPr>
        <w:t>Los elementos del inmovilizado material, intangible e inversiones inmobiliarias de las sociedades  anónimas  laborales  y  de  las  sociedades  limitadas  laborales afectos  a la realización de sus actividades, adquiridos durante los cinco primeros años a partir de la fecha de su calificación como tales.</w:t>
      </w:r>
    </w:p>
    <w:p w:rsidR="00AD3C30" w:rsidRDefault="00AD3C30" w:rsidP="001B41B7">
      <w:pPr>
        <w:pStyle w:val="Prrafodelista"/>
        <w:numPr>
          <w:ilvl w:val="0"/>
          <w:numId w:val="11"/>
        </w:numPr>
        <w:rPr>
          <w:lang w:eastAsia="es-ES"/>
        </w:rPr>
      </w:pPr>
      <w:r>
        <w:rPr>
          <w:lang w:eastAsia="es-ES"/>
        </w:rPr>
        <w:t>Los elementos del inmovilizado material e intangible, excluidos los edificios, afectos a las actividades de investigación y desarrollo. Los edificios podrán amortizarse de forma lineal durante un período de 10 años, en la parte que se hallen afectos a las actividades de investigación y desarrollo.</w:t>
      </w:r>
    </w:p>
    <w:p w:rsidR="00AD3C30" w:rsidRDefault="005D227A" w:rsidP="005E4266">
      <w:pPr>
        <w:pStyle w:val="Prrafodelista"/>
        <w:numPr>
          <w:ilvl w:val="0"/>
          <w:numId w:val="11"/>
        </w:numPr>
        <w:rPr>
          <w:lang w:eastAsia="es-ES"/>
        </w:rPr>
      </w:pPr>
      <w:r>
        <w:rPr>
          <w:lang w:eastAsia="es-ES"/>
        </w:rPr>
        <w:t xml:space="preserve">Los gastos </w:t>
      </w:r>
      <w:r w:rsidR="00B22874">
        <w:rPr>
          <w:lang w:eastAsia="es-ES"/>
        </w:rPr>
        <w:t xml:space="preserve">de investigación y desarrollo activados como inmovilizado </w:t>
      </w:r>
      <w:r w:rsidR="00AD3C30">
        <w:rPr>
          <w:lang w:eastAsia="es-ES"/>
        </w:rPr>
        <w:t>intangible, excluidas las amortizaciones de los elementos que disfruten de libertad de amortización.</w:t>
      </w:r>
    </w:p>
    <w:p w:rsidR="005D227A" w:rsidRDefault="005D227A" w:rsidP="005E4266">
      <w:pPr>
        <w:pStyle w:val="Prrafodelista"/>
        <w:numPr>
          <w:ilvl w:val="0"/>
          <w:numId w:val="11"/>
        </w:numPr>
        <w:rPr>
          <w:lang w:eastAsia="es-ES"/>
        </w:rPr>
      </w:pPr>
      <w:r>
        <w:rPr>
          <w:lang w:eastAsia="es-ES"/>
        </w:rPr>
        <w:t>Los elementos de inmovilizado de las explotaciones asociativas prioritarias (agrarias)</w:t>
      </w:r>
      <w:r w:rsidR="00B22874">
        <w:rPr>
          <w:lang w:eastAsia="es-ES"/>
        </w:rPr>
        <w:t xml:space="preserve"> durante los cinco primeros años desde su reconocimiento según Ley 19/1995</w:t>
      </w:r>
    </w:p>
    <w:p w:rsidR="00AD3C30" w:rsidRDefault="00AD3C30" w:rsidP="001B41B7">
      <w:pPr>
        <w:pStyle w:val="Prrafodelista"/>
        <w:numPr>
          <w:ilvl w:val="0"/>
          <w:numId w:val="11"/>
        </w:numPr>
        <w:rPr>
          <w:lang w:eastAsia="es-ES"/>
        </w:rPr>
      </w:pPr>
      <w:r>
        <w:rPr>
          <w:lang w:eastAsia="es-ES"/>
        </w:rPr>
        <w:t>Los elementos del inmovilizado material nuevos, cuyo valor unitario no exceda de 300 euros, hasta el límite de 25.000 euros referido al período impositivo. Si el período impositivo tuviera una duración inferior a un año, el límite señalado será el resultado de multiplicar 25.000 euros por la proporción existente entre la duración del período impositivo respecto del año.</w:t>
      </w:r>
    </w:p>
    <w:p w:rsidR="00AD3C30" w:rsidRDefault="00AD3C30" w:rsidP="00AD3C30">
      <w:pPr>
        <w:pStyle w:val="Prrafodelista"/>
        <w:numPr>
          <w:ilvl w:val="0"/>
          <w:numId w:val="10"/>
        </w:numPr>
        <w:rPr>
          <w:lang w:eastAsia="es-ES"/>
        </w:rPr>
      </w:pPr>
      <w:r>
        <w:rPr>
          <w:lang w:eastAsia="es-ES"/>
        </w:rPr>
        <w:t>Contratos de arrendamiento financiero en los que el arrendador sea una entidad de crédito</w:t>
      </w:r>
    </w:p>
    <w:p w:rsidR="00AD3C30" w:rsidRDefault="00AD3C30" w:rsidP="00AD3C30">
      <w:pPr>
        <w:pStyle w:val="Prrafodelista"/>
        <w:numPr>
          <w:ilvl w:val="0"/>
          <w:numId w:val="12"/>
        </w:numPr>
        <w:rPr>
          <w:lang w:eastAsia="es-ES"/>
        </w:rPr>
      </w:pPr>
      <w:r>
        <w:rPr>
          <w:lang w:eastAsia="es-ES"/>
        </w:rPr>
        <w:lastRenderedPageBreak/>
        <w:t>Tendrá la consideración de gasto deducible la carga financiera satisfecha al arrendador.</w:t>
      </w:r>
    </w:p>
    <w:p w:rsidR="00AD3C30" w:rsidRDefault="00AD3C30" w:rsidP="00AD3C30">
      <w:pPr>
        <w:pStyle w:val="Prrafodelista"/>
        <w:numPr>
          <w:ilvl w:val="0"/>
          <w:numId w:val="12"/>
        </w:numPr>
        <w:rPr>
          <w:lang w:eastAsia="es-ES"/>
        </w:rPr>
      </w:pPr>
      <w:r>
        <w:rPr>
          <w:lang w:eastAsia="es-ES"/>
        </w:rPr>
        <w:t xml:space="preserve">La parte de recuperación del coste del bien, será deducible </w:t>
      </w:r>
      <w:r w:rsidR="005E4266">
        <w:rPr>
          <w:lang w:eastAsia="es-ES"/>
        </w:rPr>
        <w:t>cuando</w:t>
      </w:r>
      <w:r>
        <w:rPr>
          <w:lang w:eastAsia="es-ES"/>
        </w:rPr>
        <w:t xml:space="preserve"> el contrato tenga por objeto activos amortizables. La cantidad deducible no podrá ser superior al </w:t>
      </w:r>
      <w:r w:rsidR="005E4266">
        <w:rPr>
          <w:lang w:eastAsia="es-ES"/>
        </w:rPr>
        <w:t>resultado</w:t>
      </w:r>
      <w:r>
        <w:rPr>
          <w:lang w:eastAsia="es-ES"/>
        </w:rPr>
        <w:t xml:space="preserve"> de aplicar al coste del bien el duplo del coeficiente de amortización lineal según tablas, el exceso será deducible en los periodos impositivos sucesivos, respectando dicho </w:t>
      </w:r>
      <w:r w:rsidR="005E4266">
        <w:rPr>
          <w:lang w:eastAsia="es-ES"/>
        </w:rPr>
        <w:t>límite</w:t>
      </w:r>
      <w:r>
        <w:rPr>
          <w:lang w:eastAsia="es-ES"/>
        </w:rPr>
        <w:t>.</w:t>
      </w:r>
    </w:p>
    <w:p w:rsidR="00B22874" w:rsidRDefault="00B22874" w:rsidP="00B22874">
      <w:pPr>
        <w:pStyle w:val="Prrafodelista"/>
        <w:ind w:left="1080"/>
        <w:rPr>
          <w:lang w:eastAsia="es-ES"/>
        </w:rPr>
      </w:pPr>
    </w:p>
    <w:p w:rsidR="00AD3C30" w:rsidRDefault="00AD3C30" w:rsidP="0021146A">
      <w:pPr>
        <w:pStyle w:val="Prrafodelista"/>
        <w:numPr>
          <w:ilvl w:val="2"/>
          <w:numId w:val="1"/>
        </w:numPr>
        <w:rPr>
          <w:lang w:eastAsia="es-ES"/>
        </w:rPr>
      </w:pPr>
      <w:r>
        <w:rPr>
          <w:lang w:eastAsia="es-ES"/>
        </w:rPr>
        <w:t>Pérdidas por deterioro del valor de los elementos patrimoniales (art. 13 LIS)</w:t>
      </w:r>
    </w:p>
    <w:p w:rsidR="00AD3C30" w:rsidRDefault="00AD3C30" w:rsidP="00AD3C30">
      <w:pPr>
        <w:pStyle w:val="Prrafodelista"/>
        <w:ind w:left="1080"/>
        <w:rPr>
          <w:lang w:eastAsia="es-ES"/>
        </w:rPr>
      </w:pPr>
    </w:p>
    <w:p w:rsidR="00AD3C30" w:rsidRDefault="00AD3C30" w:rsidP="00AD3C30">
      <w:pPr>
        <w:pStyle w:val="Prrafodelista"/>
        <w:numPr>
          <w:ilvl w:val="0"/>
          <w:numId w:val="13"/>
        </w:numPr>
        <w:rPr>
          <w:lang w:eastAsia="es-ES"/>
        </w:rPr>
      </w:pPr>
      <w:r>
        <w:rPr>
          <w:lang w:eastAsia="es-ES"/>
        </w:rPr>
        <w:t>Pérdidas por deterioro de los créditos derivadas de las insolvencias de los deudores. Serán deducibles cuando en el momento del devengo concurra alguna de las siguientes circunstancias:</w:t>
      </w:r>
    </w:p>
    <w:p w:rsidR="00AD3C30" w:rsidRDefault="00AD3C30" w:rsidP="00AD3C30">
      <w:pPr>
        <w:pStyle w:val="Prrafodelista"/>
        <w:numPr>
          <w:ilvl w:val="0"/>
          <w:numId w:val="14"/>
        </w:numPr>
        <w:rPr>
          <w:lang w:eastAsia="es-ES"/>
        </w:rPr>
      </w:pPr>
      <w:r>
        <w:rPr>
          <w:lang w:eastAsia="es-ES"/>
        </w:rPr>
        <w:t>Que haya transcurrido el plazo de 6 meses desde el vencimiento de la obligación.</w:t>
      </w:r>
    </w:p>
    <w:p w:rsidR="00AD3C30" w:rsidRDefault="00AD3C30" w:rsidP="00AD3C30">
      <w:pPr>
        <w:pStyle w:val="Prrafodelista"/>
        <w:numPr>
          <w:ilvl w:val="0"/>
          <w:numId w:val="14"/>
        </w:numPr>
        <w:rPr>
          <w:lang w:eastAsia="es-ES"/>
        </w:rPr>
      </w:pPr>
      <w:r>
        <w:rPr>
          <w:lang w:eastAsia="es-ES"/>
        </w:rPr>
        <w:t>Que el deudor esté declarado en situación de concurso.</w:t>
      </w:r>
    </w:p>
    <w:p w:rsidR="00AD3C30" w:rsidRDefault="00AD3C30" w:rsidP="00AD3C30">
      <w:pPr>
        <w:pStyle w:val="Prrafodelista"/>
        <w:numPr>
          <w:ilvl w:val="0"/>
          <w:numId w:val="14"/>
        </w:numPr>
        <w:rPr>
          <w:lang w:eastAsia="es-ES"/>
        </w:rPr>
      </w:pPr>
      <w:r>
        <w:rPr>
          <w:lang w:eastAsia="es-ES"/>
        </w:rPr>
        <w:t>Que el deudor esté procesado por el delito de alzamiento de bienes.</w:t>
      </w:r>
    </w:p>
    <w:p w:rsidR="00AD3C30" w:rsidRDefault="00AD3C30" w:rsidP="001B41B7">
      <w:pPr>
        <w:pStyle w:val="Prrafodelista"/>
        <w:numPr>
          <w:ilvl w:val="0"/>
          <w:numId w:val="14"/>
        </w:numPr>
        <w:rPr>
          <w:lang w:eastAsia="es-ES"/>
        </w:rPr>
      </w:pPr>
      <w:r>
        <w:rPr>
          <w:lang w:eastAsia="es-ES"/>
        </w:rPr>
        <w:t>Que las obligaciones hayan sido reclamadas judicialmente o sean objeto de un litigio judicial o procedimiento arbitral de cuya solución dependa su cobro.</w:t>
      </w:r>
    </w:p>
    <w:p w:rsidR="00AD3C30" w:rsidRDefault="00AD3C30" w:rsidP="00AD3C30">
      <w:pPr>
        <w:ind w:firstLine="360"/>
        <w:rPr>
          <w:lang w:eastAsia="es-ES"/>
        </w:rPr>
      </w:pPr>
      <w:r>
        <w:rPr>
          <w:lang w:eastAsia="es-ES"/>
        </w:rPr>
        <w:t>No serán deducibles las siguientes pérdidas por deterioro de créditos:</w:t>
      </w:r>
    </w:p>
    <w:p w:rsidR="00AD3C30" w:rsidRDefault="00AD3C30" w:rsidP="005E4266">
      <w:pPr>
        <w:ind w:left="360"/>
        <w:rPr>
          <w:lang w:eastAsia="es-ES"/>
        </w:rPr>
      </w:pPr>
      <w:r>
        <w:rPr>
          <w:lang w:eastAsia="es-ES"/>
        </w:rPr>
        <w:t>1.º  Las  correspondientes  a  créditos  adeudados  por  entidades  de  derecho  público, excepto que sean objeto de un procedimiento arbitral o judicial que verse sobre su existencia o cuantía.</w:t>
      </w:r>
    </w:p>
    <w:p w:rsidR="00AD3C30" w:rsidRDefault="00AD3C30" w:rsidP="005E4266">
      <w:pPr>
        <w:ind w:left="360"/>
        <w:rPr>
          <w:lang w:eastAsia="es-ES"/>
        </w:rPr>
      </w:pPr>
      <w:r>
        <w:rPr>
          <w:lang w:eastAsia="es-ES"/>
        </w:rPr>
        <w:t>2.º</w:t>
      </w:r>
      <w:r w:rsidR="00265D26">
        <w:rPr>
          <w:lang w:eastAsia="es-ES"/>
        </w:rPr>
        <w:t xml:space="preserve"> </w:t>
      </w:r>
      <w:r>
        <w:rPr>
          <w:lang w:eastAsia="es-ES"/>
        </w:rPr>
        <w:t>Las correspondientes a créditos adeudados por personas o entidades vinculadas, salvo que estén en situación de concurso y se haya producido la apertura de la fase de liquidación  por  el  juez,  en  los  términos  estab</w:t>
      </w:r>
      <w:r w:rsidR="00B740B9">
        <w:rPr>
          <w:lang w:eastAsia="es-ES"/>
        </w:rPr>
        <w:t>lecidos  en  la  Ley  22/2003</w:t>
      </w:r>
      <w:r>
        <w:rPr>
          <w:lang w:eastAsia="es-ES"/>
        </w:rPr>
        <w:t xml:space="preserve"> Concursal.</w:t>
      </w:r>
    </w:p>
    <w:p w:rsidR="00AD3C30" w:rsidRDefault="00265D26" w:rsidP="005E4266">
      <w:pPr>
        <w:ind w:left="360"/>
        <w:rPr>
          <w:lang w:eastAsia="es-ES"/>
        </w:rPr>
      </w:pPr>
      <w:r>
        <w:rPr>
          <w:lang w:eastAsia="es-ES"/>
        </w:rPr>
        <w:t>3. º</w:t>
      </w:r>
      <w:r w:rsidR="00AD3C30">
        <w:rPr>
          <w:lang w:eastAsia="es-ES"/>
        </w:rPr>
        <w:t xml:space="preserve"> Las correspondientes a estimaciones globales del riesgo de insolvencias de clientes y deudores</w:t>
      </w:r>
      <w:r>
        <w:rPr>
          <w:lang w:eastAsia="es-ES"/>
        </w:rPr>
        <w:t>.</w:t>
      </w:r>
    </w:p>
    <w:p w:rsidR="00265D26" w:rsidRDefault="00265D26" w:rsidP="0059199A">
      <w:pPr>
        <w:pStyle w:val="Prrafodelista"/>
        <w:numPr>
          <w:ilvl w:val="0"/>
          <w:numId w:val="13"/>
        </w:numPr>
        <w:rPr>
          <w:lang w:eastAsia="es-ES"/>
        </w:rPr>
      </w:pPr>
      <w:r>
        <w:rPr>
          <w:lang w:eastAsia="es-ES"/>
        </w:rPr>
        <w:t>No serán deducibles:</w:t>
      </w:r>
    </w:p>
    <w:p w:rsidR="00265D26" w:rsidRDefault="0059199A" w:rsidP="00265D26">
      <w:pPr>
        <w:pStyle w:val="Prrafodelista"/>
        <w:numPr>
          <w:ilvl w:val="0"/>
          <w:numId w:val="18"/>
        </w:numPr>
        <w:rPr>
          <w:lang w:eastAsia="es-ES"/>
        </w:rPr>
      </w:pPr>
      <w:r>
        <w:rPr>
          <w:lang w:eastAsia="es-ES"/>
        </w:rPr>
        <w:t>Las pérdidas por deterioro del inmovilizado material, inversiones inmobiliarias e</w:t>
      </w:r>
      <w:r w:rsidR="00265D26">
        <w:rPr>
          <w:lang w:eastAsia="es-ES"/>
        </w:rPr>
        <w:t xml:space="preserve"> inmovilizado intangible, incluido el fondo de comercio.</w:t>
      </w:r>
    </w:p>
    <w:p w:rsidR="00265D26" w:rsidRDefault="00265D26" w:rsidP="00265D26">
      <w:pPr>
        <w:pStyle w:val="Prrafodelista"/>
        <w:numPr>
          <w:ilvl w:val="0"/>
          <w:numId w:val="18"/>
        </w:numPr>
        <w:rPr>
          <w:lang w:eastAsia="es-ES"/>
        </w:rPr>
      </w:pPr>
      <w:r>
        <w:rPr>
          <w:lang w:eastAsia="es-ES"/>
        </w:rPr>
        <w:t>Las pérdidas por deterioro de los valores representativos de la participación en el capital o en los fondos propio</w:t>
      </w:r>
      <w:r w:rsidR="00835195">
        <w:rPr>
          <w:lang w:eastAsia="es-ES"/>
        </w:rPr>
        <w:t>s de entidades</w:t>
      </w:r>
      <w:r w:rsidR="0059199A">
        <w:rPr>
          <w:lang w:eastAsia="es-ES"/>
        </w:rPr>
        <w:t xml:space="preserve"> si no se cumplen los requisitos del artículo 21 (</w:t>
      </w:r>
      <w:r w:rsidR="00835195">
        <w:rPr>
          <w:lang w:eastAsia="es-ES"/>
        </w:rPr>
        <w:t>participaciones inferiores al 5%</w:t>
      </w:r>
      <w:r w:rsidR="0059199A">
        <w:rPr>
          <w:lang w:eastAsia="es-ES"/>
        </w:rPr>
        <w:t xml:space="preserve"> o a 20 millones de euros, </w:t>
      </w:r>
      <w:r w:rsidR="00835195">
        <w:rPr>
          <w:lang w:eastAsia="es-ES"/>
        </w:rPr>
        <w:t>mantenimiento de la cartera inferior al año o en determinadas entidades no residentes no sometidas a un impuesto similar en su país de residencia</w:t>
      </w:r>
      <w:r w:rsidR="0059199A">
        <w:rPr>
          <w:lang w:eastAsia="es-ES"/>
        </w:rPr>
        <w:t xml:space="preserve"> o con tipo nominal inferior al 10 %</w:t>
      </w:r>
      <w:r w:rsidR="00835195">
        <w:rPr>
          <w:lang w:eastAsia="es-ES"/>
        </w:rPr>
        <w:t xml:space="preserve">) </w:t>
      </w:r>
    </w:p>
    <w:p w:rsidR="00265D26" w:rsidRDefault="00265D26" w:rsidP="00265D26">
      <w:pPr>
        <w:pStyle w:val="Prrafodelista"/>
        <w:numPr>
          <w:ilvl w:val="0"/>
          <w:numId w:val="18"/>
        </w:numPr>
        <w:rPr>
          <w:lang w:eastAsia="es-ES"/>
        </w:rPr>
      </w:pPr>
      <w:r>
        <w:rPr>
          <w:lang w:eastAsia="es-ES"/>
        </w:rPr>
        <w:t>Las pérdidas por deterioro de los valores representativos de deuda.</w:t>
      </w:r>
    </w:p>
    <w:p w:rsidR="00265D26" w:rsidRDefault="00265D26" w:rsidP="00265D26">
      <w:pPr>
        <w:pStyle w:val="Sinespaciado"/>
        <w:rPr>
          <w:lang w:eastAsia="es-ES"/>
        </w:rPr>
      </w:pPr>
    </w:p>
    <w:p w:rsidR="00265D26" w:rsidRDefault="00265D26" w:rsidP="0021146A">
      <w:pPr>
        <w:pStyle w:val="Prrafodelista"/>
        <w:numPr>
          <w:ilvl w:val="2"/>
          <w:numId w:val="1"/>
        </w:numPr>
        <w:rPr>
          <w:lang w:eastAsia="es-ES"/>
        </w:rPr>
      </w:pPr>
      <w:r>
        <w:rPr>
          <w:lang w:eastAsia="es-ES"/>
        </w:rPr>
        <w:t>Provisiones y otros gastos (art. 14 de la LIS)</w:t>
      </w:r>
    </w:p>
    <w:p w:rsidR="00F743EF" w:rsidRDefault="00F743EF" w:rsidP="00F743EF">
      <w:pPr>
        <w:rPr>
          <w:lang w:eastAsia="es-ES"/>
        </w:rPr>
      </w:pPr>
      <w:r>
        <w:rPr>
          <w:lang w:eastAsia="es-ES"/>
        </w:rPr>
        <w:t>Según el artículo 14 de la LIS se destacan, entre otros:</w:t>
      </w:r>
    </w:p>
    <w:p w:rsidR="00265D26" w:rsidRDefault="00265D26" w:rsidP="00265D26">
      <w:pPr>
        <w:rPr>
          <w:lang w:eastAsia="es-ES"/>
        </w:rPr>
      </w:pPr>
      <w:r>
        <w:rPr>
          <w:lang w:eastAsia="es-ES"/>
        </w:rPr>
        <w:t>1. No serán deducibles los gastos por provisiones y fondos internos para la cobertura de contingencias idénticas o análogas a las que son objeto de la Ley 1/2002 de Regulación de los Planes y Fondos de Pensiones. Estos gastos serán fiscalmente deducibles en el período impositivo en que se abonen las prestaciones.</w:t>
      </w:r>
    </w:p>
    <w:p w:rsidR="00265D26" w:rsidRDefault="00265D26" w:rsidP="00265D26">
      <w:pPr>
        <w:rPr>
          <w:lang w:eastAsia="es-ES"/>
        </w:rPr>
      </w:pPr>
      <w:r>
        <w:rPr>
          <w:lang w:eastAsia="es-ES"/>
        </w:rPr>
        <w:t>2. No serán deducibles los gastos relativos a retribuciones a la</w:t>
      </w:r>
      <w:r w:rsidR="00894CED">
        <w:rPr>
          <w:lang w:eastAsia="es-ES"/>
        </w:rPr>
        <w:t xml:space="preserve">rgo plazo al personal mediante </w:t>
      </w:r>
      <w:r w:rsidR="0059199A">
        <w:rPr>
          <w:lang w:eastAsia="es-ES"/>
        </w:rPr>
        <w:t>sistemas de aportación definida</w:t>
      </w:r>
      <w:r w:rsidR="00835195">
        <w:rPr>
          <w:lang w:eastAsia="es-ES"/>
        </w:rPr>
        <w:t xml:space="preserve"> o prestación definida</w:t>
      </w:r>
      <w:r>
        <w:rPr>
          <w:lang w:eastAsia="es-ES"/>
        </w:rPr>
        <w:t xml:space="preserve">.  No  obstante, serán deducibles las contribuciones de los promotores de planes de pensiones regulados en la Ley de Regulación de </w:t>
      </w:r>
      <w:r>
        <w:rPr>
          <w:lang w:eastAsia="es-ES"/>
        </w:rPr>
        <w:lastRenderedPageBreak/>
        <w:t xml:space="preserve">los Planes y Fondos de Pensiones, así como las realizadas a planes de previsión social empresarial. </w:t>
      </w:r>
    </w:p>
    <w:p w:rsidR="00265D26" w:rsidRDefault="00265D26" w:rsidP="00265D26">
      <w:pPr>
        <w:rPr>
          <w:lang w:eastAsia="es-ES"/>
        </w:rPr>
      </w:pPr>
      <w:r>
        <w:rPr>
          <w:lang w:eastAsia="es-ES"/>
        </w:rPr>
        <w:t>3. No serán deducibles los siguientes gastos asociados a provisiones, entre otros:</w:t>
      </w:r>
    </w:p>
    <w:p w:rsidR="00265D26" w:rsidRDefault="00265D26" w:rsidP="00CB493F">
      <w:pPr>
        <w:pStyle w:val="Prrafodelista"/>
        <w:numPr>
          <w:ilvl w:val="0"/>
          <w:numId w:val="24"/>
        </w:numPr>
        <w:rPr>
          <w:lang w:eastAsia="es-ES"/>
        </w:rPr>
      </w:pPr>
      <w:r>
        <w:rPr>
          <w:lang w:eastAsia="es-ES"/>
        </w:rPr>
        <w:t>Los derivados de obligaciones implícitas o tácitas.</w:t>
      </w:r>
    </w:p>
    <w:p w:rsidR="00265D26" w:rsidRDefault="00265D26" w:rsidP="00CB493F">
      <w:pPr>
        <w:pStyle w:val="Prrafodelista"/>
        <w:numPr>
          <w:ilvl w:val="0"/>
          <w:numId w:val="24"/>
        </w:numPr>
        <w:rPr>
          <w:lang w:eastAsia="es-ES"/>
        </w:rPr>
      </w:pPr>
      <w:r>
        <w:rPr>
          <w:lang w:eastAsia="es-ES"/>
        </w:rPr>
        <w:t xml:space="preserve">Los  </w:t>
      </w:r>
      <w:r w:rsidR="00F743EF">
        <w:rPr>
          <w:lang w:eastAsia="es-ES"/>
        </w:rPr>
        <w:t>referentes</w:t>
      </w:r>
      <w:r>
        <w:rPr>
          <w:lang w:eastAsia="es-ES"/>
        </w:rPr>
        <w:t xml:space="preserve">  a  los  costes  de  cumplimiento  de  contratos  que  excedan  a  los beneficios económicos que se esperan recibir de los mismos.</w:t>
      </w:r>
    </w:p>
    <w:p w:rsidR="00265D26" w:rsidRDefault="00265D26" w:rsidP="00CB493F">
      <w:pPr>
        <w:pStyle w:val="Prrafodelista"/>
        <w:numPr>
          <w:ilvl w:val="0"/>
          <w:numId w:val="24"/>
        </w:numPr>
        <w:rPr>
          <w:lang w:eastAsia="es-ES"/>
        </w:rPr>
      </w:pPr>
      <w:r>
        <w:rPr>
          <w:lang w:eastAsia="es-ES"/>
        </w:rPr>
        <w:t>Los derivados de reestructuraciones, excepto si se refieren a obligaciones legales o contractuales y no meramente tácitas.</w:t>
      </w:r>
    </w:p>
    <w:p w:rsidR="00265D26" w:rsidRDefault="00265D26" w:rsidP="00CB493F">
      <w:pPr>
        <w:pStyle w:val="Prrafodelista"/>
        <w:numPr>
          <w:ilvl w:val="0"/>
          <w:numId w:val="24"/>
        </w:numPr>
        <w:rPr>
          <w:lang w:eastAsia="es-ES"/>
        </w:rPr>
      </w:pPr>
      <w:r>
        <w:rPr>
          <w:lang w:eastAsia="es-ES"/>
        </w:rPr>
        <w:t>Los relativos al riesgo de devoluciones de ventas.</w:t>
      </w:r>
    </w:p>
    <w:p w:rsidR="00265D26" w:rsidRDefault="00265D26" w:rsidP="00CB493F">
      <w:pPr>
        <w:pStyle w:val="Prrafodelista"/>
        <w:numPr>
          <w:ilvl w:val="0"/>
          <w:numId w:val="24"/>
        </w:numPr>
        <w:rPr>
          <w:lang w:eastAsia="es-ES"/>
        </w:rPr>
      </w:pPr>
      <w:r>
        <w:rPr>
          <w:lang w:eastAsia="es-ES"/>
        </w:rPr>
        <w:t>Los  de  personal  que  se  correspondan  con  pagos  basados  en  instrumentos  de patrimonio,  utilizados  como  fórmula  de  retribución  a  los  empleados,  y  se  satisfagan  en efectivo.</w:t>
      </w:r>
    </w:p>
    <w:p w:rsidR="00265D26" w:rsidRDefault="00265D26" w:rsidP="00265D26">
      <w:pPr>
        <w:rPr>
          <w:lang w:eastAsia="es-ES"/>
        </w:rPr>
      </w:pPr>
      <w:r>
        <w:rPr>
          <w:lang w:eastAsia="es-ES"/>
        </w:rPr>
        <w:t xml:space="preserve">4.  Los  gastos  correspondientes  a  actuaciones  medioambientales  serán  deducibles cuando  se  correspondan  a  un  plan  formulado  por  el  contribuyente  y  aceptado  por  la Administración  tributaria.  </w:t>
      </w:r>
    </w:p>
    <w:p w:rsidR="00265D26" w:rsidRDefault="00265D26" w:rsidP="00265D26">
      <w:pPr>
        <w:rPr>
          <w:lang w:eastAsia="es-ES"/>
        </w:rPr>
      </w:pPr>
      <w:r>
        <w:rPr>
          <w:lang w:eastAsia="es-ES"/>
        </w:rPr>
        <w:t>5.  Los  gastos  que,  de  conformidad  con  los  tres  apartados  anteriores,  no  hubieran resultado fiscalmente deducibles, se integrarán en la base imponible del período impositivo en el que se aplique la provisión</w:t>
      </w:r>
      <w:r w:rsidR="00F743EF">
        <w:rPr>
          <w:lang w:eastAsia="es-ES"/>
        </w:rPr>
        <w:t>.</w:t>
      </w:r>
    </w:p>
    <w:p w:rsidR="00835195" w:rsidRDefault="00265D26" w:rsidP="00265D26">
      <w:pPr>
        <w:rPr>
          <w:lang w:eastAsia="es-ES"/>
        </w:rPr>
      </w:pPr>
      <w:r>
        <w:rPr>
          <w:lang w:eastAsia="es-ES"/>
        </w:rPr>
        <w:t>6. Los gastos de personal que se correspondan con pagos basados en instrumentos de patrimonio, utilizados como fórmula de retribución a los empleados, y se satisfagan mediante la entrega de los mismos, serán fiscalmente deducibles cuando se produzca esta entrega.</w:t>
      </w:r>
    </w:p>
    <w:p w:rsidR="00835195" w:rsidRDefault="00835195" w:rsidP="00265D26">
      <w:pPr>
        <w:rPr>
          <w:lang w:eastAsia="es-ES"/>
        </w:rPr>
      </w:pPr>
      <w:r>
        <w:rPr>
          <w:lang w:eastAsia="es-ES"/>
        </w:rPr>
        <w:t>7. Los gastos relativos a provisiones técnicas de entidades aseguradoras ser</w:t>
      </w:r>
      <w:r w:rsidR="00F415CE">
        <w:rPr>
          <w:lang w:eastAsia="es-ES"/>
        </w:rPr>
        <w:t xml:space="preserve">án deducibles en el </w:t>
      </w:r>
      <w:r>
        <w:rPr>
          <w:lang w:eastAsia="es-ES"/>
        </w:rPr>
        <w:t>importe de las cuantías mínimas establecidas por las normas aplicables.</w:t>
      </w:r>
    </w:p>
    <w:p w:rsidR="00F415CE" w:rsidRDefault="00F415CE" w:rsidP="00265D26">
      <w:pPr>
        <w:rPr>
          <w:lang w:eastAsia="es-ES"/>
        </w:rPr>
      </w:pPr>
      <w:r>
        <w:rPr>
          <w:lang w:eastAsia="es-ES"/>
        </w:rPr>
        <w:t>8. El fondo de provisión técnica de sociedades de garantía recíproca es deducible en la cuantía mínima obligatoria determinada por su legislación especial.</w:t>
      </w:r>
    </w:p>
    <w:p w:rsidR="00F415CE" w:rsidRDefault="00F415CE" w:rsidP="00265D26">
      <w:pPr>
        <w:rPr>
          <w:lang w:eastAsia="es-ES"/>
        </w:rPr>
      </w:pPr>
      <w:r>
        <w:rPr>
          <w:lang w:eastAsia="es-ES"/>
        </w:rPr>
        <w:t>9. Los gastos inherentes a provisión por reparaciones y revisión son deducibles en la cuantía resultante de multiplicar las ventas con garantía vivas al final del ejercicio por el porcentaje obtenido al dividir el importe de estos gastos durante el ejercicio y los dos anteriores en relación con las ventas con garantías de dichos ejercicios.</w:t>
      </w:r>
    </w:p>
    <w:p w:rsidR="00AD3C30" w:rsidRDefault="00A86545" w:rsidP="00AD3C30">
      <w:pPr>
        <w:rPr>
          <w:lang w:eastAsia="es-ES"/>
        </w:rPr>
      </w:pPr>
      <w:r>
        <w:rPr>
          <w:lang w:eastAsia="es-ES"/>
        </w:rPr>
        <w:t>7</w:t>
      </w:r>
      <w:r w:rsidR="00A04FEE">
        <w:rPr>
          <w:lang w:eastAsia="es-ES"/>
        </w:rPr>
        <w:t>.2.4</w:t>
      </w:r>
      <w:r w:rsidR="00DF7BBD">
        <w:rPr>
          <w:lang w:eastAsia="es-ES"/>
        </w:rPr>
        <w:t xml:space="preserve"> Limitación en la deducibilidad de los gastos financieros (art. 16 dela LIS)</w:t>
      </w:r>
    </w:p>
    <w:p w:rsidR="00DF7BBD" w:rsidRDefault="00DF7BBD" w:rsidP="00AD3C30">
      <w:pPr>
        <w:rPr>
          <w:lang w:eastAsia="es-ES"/>
        </w:rPr>
      </w:pPr>
      <w:r>
        <w:rPr>
          <w:lang w:eastAsia="es-ES"/>
        </w:rPr>
        <w:t xml:space="preserve">Los gastos financieros netos serán deducibles con el límite del 30 por ciento del beneficio operativo del ejercicio. En todo caso, serán deducibles los gastos financieros netos del </w:t>
      </w:r>
      <w:r w:rsidR="00F743EF">
        <w:rPr>
          <w:lang w:eastAsia="es-ES"/>
        </w:rPr>
        <w:t>periodo</w:t>
      </w:r>
      <w:r>
        <w:rPr>
          <w:lang w:eastAsia="es-ES"/>
        </w:rPr>
        <w:t xml:space="preserve"> impositivo por </w:t>
      </w:r>
      <w:r w:rsidR="00F743EF">
        <w:rPr>
          <w:lang w:eastAsia="es-ES"/>
        </w:rPr>
        <w:t>importe</w:t>
      </w:r>
      <w:r>
        <w:rPr>
          <w:lang w:eastAsia="es-ES"/>
        </w:rPr>
        <w:t xml:space="preserve"> de 1.000.000 de euros.</w:t>
      </w:r>
    </w:p>
    <w:p w:rsidR="00A86545" w:rsidRPr="00707CC8" w:rsidRDefault="00A86545" w:rsidP="00707CC8">
      <w:pPr>
        <w:pStyle w:val="Prrafodelista"/>
        <w:numPr>
          <w:ilvl w:val="1"/>
          <w:numId w:val="1"/>
        </w:numPr>
        <w:ind w:left="512"/>
        <w:rPr>
          <w:color w:val="FF0000"/>
          <w:lang w:eastAsia="es-ES"/>
        </w:rPr>
      </w:pPr>
      <w:r w:rsidRPr="00707CC8">
        <w:rPr>
          <w:color w:val="FF0000"/>
          <w:lang w:eastAsia="es-ES"/>
        </w:rPr>
        <w:t>GASTOS NO DEDUCIBLES (ART. 15 LIS)</w:t>
      </w:r>
    </w:p>
    <w:p w:rsidR="00A86545" w:rsidRPr="00A86545" w:rsidRDefault="00A86545" w:rsidP="00707CC8">
      <w:pPr>
        <w:pStyle w:val="parrafo"/>
        <w:spacing w:before="180" w:beforeAutospacing="0" w:after="180" w:afterAutospacing="0"/>
        <w:ind w:left="-56"/>
        <w:jc w:val="both"/>
        <w:rPr>
          <w:color w:val="FF0000"/>
          <w:sz w:val="22"/>
          <w:szCs w:val="22"/>
        </w:rPr>
      </w:pPr>
      <w:r w:rsidRPr="00A86545">
        <w:rPr>
          <w:color w:val="FF0000"/>
          <w:sz w:val="22"/>
          <w:szCs w:val="22"/>
        </w:rPr>
        <w:t>No tendrán la consideración de gastos fiscalmente deducibles:</w:t>
      </w:r>
    </w:p>
    <w:p w:rsidR="00A86545" w:rsidRPr="00A86545" w:rsidRDefault="00A86545" w:rsidP="00707CC8">
      <w:pPr>
        <w:pStyle w:val="parrafo2"/>
        <w:spacing w:before="360" w:beforeAutospacing="0" w:after="180" w:afterAutospacing="0"/>
        <w:ind w:left="-56"/>
        <w:jc w:val="both"/>
        <w:rPr>
          <w:color w:val="FF0000"/>
          <w:sz w:val="22"/>
          <w:szCs w:val="22"/>
        </w:rPr>
      </w:pPr>
      <w:r w:rsidRPr="00A86545">
        <w:rPr>
          <w:color w:val="FF0000"/>
          <w:sz w:val="22"/>
          <w:szCs w:val="22"/>
        </w:rPr>
        <w:t>a) Los que representen una retribución de los fondos propios.</w:t>
      </w:r>
    </w:p>
    <w:p w:rsidR="00A86545" w:rsidRPr="00A86545" w:rsidRDefault="00A86545" w:rsidP="00707CC8">
      <w:pPr>
        <w:pStyle w:val="parrafo"/>
        <w:spacing w:before="180" w:beforeAutospacing="0" w:after="180" w:afterAutospacing="0"/>
        <w:ind w:left="-56"/>
        <w:jc w:val="both"/>
        <w:rPr>
          <w:color w:val="FF0000"/>
          <w:sz w:val="22"/>
          <w:szCs w:val="22"/>
        </w:rPr>
      </w:pPr>
      <w:r w:rsidRPr="00A86545">
        <w:rPr>
          <w:color w:val="FF0000"/>
          <w:sz w:val="22"/>
          <w:szCs w:val="22"/>
        </w:rPr>
        <w:t>b) Los derivados de la contabilización del Impuesto sobre Sociedades. No tendrán la consideración de ingresos los procedentes de dicha contabilización.</w:t>
      </w:r>
    </w:p>
    <w:p w:rsidR="00A86545" w:rsidRPr="00A86545" w:rsidRDefault="00A86545" w:rsidP="00707CC8">
      <w:pPr>
        <w:pStyle w:val="parrafo"/>
        <w:spacing w:before="180" w:beforeAutospacing="0" w:after="180" w:afterAutospacing="0"/>
        <w:ind w:left="-56"/>
        <w:jc w:val="both"/>
        <w:rPr>
          <w:color w:val="FF0000"/>
          <w:sz w:val="22"/>
          <w:szCs w:val="22"/>
        </w:rPr>
      </w:pPr>
      <w:r w:rsidRPr="00A86545">
        <w:rPr>
          <w:color w:val="FF0000"/>
          <w:sz w:val="22"/>
          <w:szCs w:val="22"/>
        </w:rPr>
        <w:t>c) Las multas y sanciones penales y administrativas, los recargos del período ejecutivo y el recargo por declaración extemporánea sin requerimiento previo.</w:t>
      </w:r>
    </w:p>
    <w:p w:rsidR="00A86545" w:rsidRPr="00A86545" w:rsidRDefault="00A86545" w:rsidP="00190CF8">
      <w:pPr>
        <w:pStyle w:val="parrafo"/>
        <w:spacing w:before="180" w:beforeAutospacing="0" w:after="180" w:afterAutospacing="0"/>
        <w:jc w:val="both"/>
        <w:rPr>
          <w:color w:val="FF0000"/>
          <w:sz w:val="22"/>
          <w:szCs w:val="22"/>
        </w:rPr>
      </w:pPr>
      <w:r w:rsidRPr="00A86545">
        <w:rPr>
          <w:color w:val="FF0000"/>
          <w:sz w:val="22"/>
          <w:szCs w:val="22"/>
        </w:rPr>
        <w:t>d) Las pérdidas del juego.</w:t>
      </w:r>
    </w:p>
    <w:p w:rsidR="00A86545" w:rsidRPr="00A86545" w:rsidRDefault="00A86545" w:rsidP="00A86545">
      <w:pPr>
        <w:pStyle w:val="parrafo"/>
        <w:spacing w:before="180" w:beforeAutospacing="0" w:after="180" w:afterAutospacing="0"/>
        <w:ind w:left="360"/>
        <w:jc w:val="both"/>
        <w:rPr>
          <w:color w:val="FF0000"/>
          <w:sz w:val="22"/>
          <w:szCs w:val="22"/>
        </w:rPr>
      </w:pPr>
      <w:r w:rsidRPr="00A86545">
        <w:rPr>
          <w:color w:val="FF0000"/>
          <w:sz w:val="22"/>
          <w:szCs w:val="22"/>
        </w:rPr>
        <w:lastRenderedPageBreak/>
        <w:t>e) Los donativos y liberalidades.</w:t>
      </w:r>
    </w:p>
    <w:p w:rsidR="00A86545" w:rsidRPr="00A86545" w:rsidRDefault="00A86545" w:rsidP="00A86545">
      <w:pPr>
        <w:pStyle w:val="parrafo"/>
        <w:spacing w:before="180" w:beforeAutospacing="0" w:after="180" w:afterAutospacing="0"/>
        <w:ind w:left="360"/>
        <w:jc w:val="both"/>
        <w:rPr>
          <w:color w:val="FF0000"/>
          <w:sz w:val="22"/>
          <w:szCs w:val="22"/>
        </w:rPr>
      </w:pPr>
      <w:r w:rsidRPr="00A86545">
        <w:rPr>
          <w:color w:val="FF0000"/>
          <w:sz w:val="22"/>
          <w:szCs w:val="22"/>
        </w:rPr>
        <w:t>No se entenderán comprendidos en esta letra e) los gastos por atenciones a clientes o proveedores ni los que con arreglo a los usos y costumbres se efectúen con respecto al personal de la empresa ni los realizados para promocionar, directa o indirectamente, la venta de bienes y prestación de servicios, ni los que se hallen correlacionados con los ingresos.</w:t>
      </w:r>
    </w:p>
    <w:p w:rsidR="00A86545" w:rsidRPr="00A86545" w:rsidRDefault="00A86545" w:rsidP="00A86545">
      <w:pPr>
        <w:pStyle w:val="parrafo"/>
        <w:spacing w:before="180" w:beforeAutospacing="0" w:after="180" w:afterAutospacing="0"/>
        <w:ind w:left="360"/>
        <w:jc w:val="both"/>
        <w:rPr>
          <w:color w:val="FF0000"/>
          <w:sz w:val="22"/>
          <w:szCs w:val="22"/>
        </w:rPr>
      </w:pPr>
      <w:r w:rsidRPr="00A86545">
        <w:rPr>
          <w:color w:val="FF0000"/>
          <w:sz w:val="22"/>
          <w:szCs w:val="22"/>
        </w:rPr>
        <w:t>No obstante, los gastos por atenciones a clientes o proveedores serán deducibles con el límite del 1 por ciento del importe neto de la cifra de negocios del período impositivo.</w:t>
      </w:r>
    </w:p>
    <w:p w:rsidR="00A86545" w:rsidRPr="00A86545" w:rsidRDefault="00A86545" w:rsidP="00A86545">
      <w:pPr>
        <w:pStyle w:val="parrafo"/>
        <w:spacing w:before="180" w:beforeAutospacing="0" w:after="180" w:afterAutospacing="0"/>
        <w:ind w:left="360"/>
        <w:jc w:val="both"/>
        <w:rPr>
          <w:color w:val="FF0000"/>
          <w:sz w:val="22"/>
          <w:szCs w:val="22"/>
        </w:rPr>
      </w:pPr>
      <w:r w:rsidRPr="00A86545">
        <w:rPr>
          <w:color w:val="FF0000"/>
          <w:sz w:val="22"/>
          <w:szCs w:val="22"/>
        </w:rPr>
        <w:t>Tampoco se entenderán comprendidos en esta letra e) las retribuciones a los administradores por el desempeño de funciones de alta dirección, u otras funciones derivadas de un contrato de carácter laboral con la entidad.</w:t>
      </w:r>
    </w:p>
    <w:p w:rsidR="00A86545" w:rsidRPr="00A86545" w:rsidRDefault="00A86545" w:rsidP="00A86545">
      <w:pPr>
        <w:pStyle w:val="parrafo"/>
        <w:spacing w:before="180" w:beforeAutospacing="0" w:after="180" w:afterAutospacing="0"/>
        <w:ind w:left="360"/>
        <w:jc w:val="both"/>
        <w:rPr>
          <w:color w:val="FF0000"/>
          <w:sz w:val="22"/>
          <w:szCs w:val="22"/>
        </w:rPr>
      </w:pPr>
      <w:r w:rsidRPr="00A86545">
        <w:rPr>
          <w:color w:val="FF0000"/>
          <w:sz w:val="22"/>
          <w:szCs w:val="22"/>
        </w:rPr>
        <w:t>f) Los gastos de actuaciones contrarias al ordenamiento jurídico.</w:t>
      </w:r>
    </w:p>
    <w:p w:rsidR="00A86545" w:rsidRPr="00A86545" w:rsidRDefault="00A86545" w:rsidP="00A86545">
      <w:pPr>
        <w:pStyle w:val="parrafo"/>
        <w:spacing w:before="180" w:beforeAutospacing="0" w:after="180" w:afterAutospacing="0"/>
        <w:ind w:left="360"/>
        <w:jc w:val="both"/>
        <w:rPr>
          <w:color w:val="FF0000"/>
          <w:sz w:val="22"/>
          <w:szCs w:val="22"/>
        </w:rPr>
      </w:pPr>
      <w:r w:rsidRPr="00A86545">
        <w:rPr>
          <w:color w:val="FF0000"/>
          <w:sz w:val="22"/>
          <w:szCs w:val="22"/>
        </w:rPr>
        <w:t>g) Los gastos de servicios correspondientes a operaciones realizadas, directa o indirectamente, con personas o entidades residentes en países o territorios calificados como paraísos fiscales, o que se paguen a través de personas o entidades residentes en estos, excepto que el contribuyente pruebe que el gasto devengado responde a una operación o transacción efectivamente realizada.</w:t>
      </w:r>
    </w:p>
    <w:p w:rsidR="00A86545" w:rsidRPr="00A86545" w:rsidRDefault="00A86545" w:rsidP="00A86545">
      <w:pPr>
        <w:pStyle w:val="parrafo"/>
        <w:spacing w:before="180" w:beforeAutospacing="0" w:after="180" w:afterAutospacing="0"/>
        <w:ind w:left="360"/>
        <w:jc w:val="both"/>
        <w:rPr>
          <w:color w:val="FF0000"/>
          <w:sz w:val="22"/>
          <w:szCs w:val="22"/>
        </w:rPr>
      </w:pPr>
      <w:r w:rsidRPr="00A86545">
        <w:rPr>
          <w:color w:val="FF0000"/>
          <w:sz w:val="22"/>
          <w:szCs w:val="22"/>
        </w:rPr>
        <w:t>h) Los gastos financieros devengados en el período impositivo, derivados de deudas con entidades del grupo</w:t>
      </w:r>
      <w:r w:rsidR="00190CF8">
        <w:rPr>
          <w:color w:val="FF0000"/>
          <w:sz w:val="22"/>
          <w:szCs w:val="22"/>
        </w:rPr>
        <w:t xml:space="preserve">, </w:t>
      </w:r>
      <w:r w:rsidRPr="00A86545">
        <w:rPr>
          <w:color w:val="FF0000"/>
          <w:sz w:val="22"/>
          <w:szCs w:val="22"/>
        </w:rPr>
        <w:t>destinadas a la adquisición, a otras entidades del grupo, de participaciones en el capital o fondos propios de cualquier tipo de entidades, o a la realización de aportaciones en el capital o fondos propios de otras entidades del grupo, salvo que el contribuyente acredite que existen motivos económicos válidos para la realización de dichas operaciones.</w:t>
      </w:r>
    </w:p>
    <w:p w:rsidR="00A86545" w:rsidRPr="00A86545" w:rsidRDefault="00A86545" w:rsidP="00A86545">
      <w:pPr>
        <w:pStyle w:val="parrafo"/>
        <w:spacing w:before="180" w:beforeAutospacing="0" w:after="180" w:afterAutospacing="0"/>
        <w:ind w:left="360"/>
        <w:jc w:val="both"/>
        <w:rPr>
          <w:color w:val="FF0000"/>
          <w:sz w:val="22"/>
          <w:szCs w:val="22"/>
        </w:rPr>
      </w:pPr>
      <w:r w:rsidRPr="00A86545">
        <w:rPr>
          <w:color w:val="FF0000"/>
          <w:sz w:val="22"/>
          <w:szCs w:val="22"/>
        </w:rPr>
        <w:t>i) Los gastos derivados de la extinción de la relación laboral, que exc</w:t>
      </w:r>
      <w:r w:rsidR="00190CF8">
        <w:rPr>
          <w:color w:val="FF0000"/>
          <w:sz w:val="22"/>
          <w:szCs w:val="22"/>
        </w:rPr>
        <w:t>edan, para cada perceptor, de 1 millón de euros o del importe establecido en el estatuto de los trabajadores si es mayor.</w:t>
      </w:r>
    </w:p>
    <w:p w:rsidR="00A86545" w:rsidRPr="00A86545" w:rsidRDefault="00A86545" w:rsidP="00A86545">
      <w:pPr>
        <w:pStyle w:val="parrafo"/>
        <w:spacing w:before="180" w:beforeAutospacing="0" w:after="180" w:afterAutospacing="0"/>
        <w:ind w:left="360"/>
        <w:jc w:val="both"/>
        <w:rPr>
          <w:color w:val="FF0000"/>
          <w:sz w:val="22"/>
          <w:szCs w:val="22"/>
        </w:rPr>
      </w:pPr>
      <w:r w:rsidRPr="00A86545">
        <w:rPr>
          <w:color w:val="FF0000"/>
          <w:sz w:val="22"/>
          <w:szCs w:val="22"/>
        </w:rPr>
        <w:t>j) Los gastos correspondientes a operaciones realizadas con personas o entidades vinculadas que, como consecuencia de una calificación fiscal diferente en estas, no generen ingreso o generen un ingreso exento o sometido a un tipo de gravamen nominal inferior al 10 por ciento.</w:t>
      </w:r>
    </w:p>
    <w:p w:rsidR="00A86545" w:rsidRPr="00A86545" w:rsidRDefault="00A86545" w:rsidP="00A86545">
      <w:pPr>
        <w:pStyle w:val="parrafo"/>
        <w:spacing w:before="180" w:beforeAutospacing="0" w:after="180" w:afterAutospacing="0"/>
        <w:ind w:left="360"/>
        <w:jc w:val="both"/>
        <w:rPr>
          <w:color w:val="FF0000"/>
          <w:sz w:val="22"/>
          <w:szCs w:val="22"/>
        </w:rPr>
      </w:pPr>
      <w:r w:rsidRPr="00A86545">
        <w:rPr>
          <w:color w:val="FF0000"/>
          <w:sz w:val="22"/>
          <w:szCs w:val="22"/>
        </w:rPr>
        <w:t>k) Las pérdidas por deterioro de los valores representativos de la participación en el capital o en l</w:t>
      </w:r>
      <w:r w:rsidR="00190CF8">
        <w:rPr>
          <w:color w:val="FF0000"/>
          <w:sz w:val="22"/>
          <w:szCs w:val="22"/>
        </w:rPr>
        <w:t>os fondos propios de entidades que no cumplan con los requisitos del art. 21.</w:t>
      </w:r>
    </w:p>
    <w:p w:rsidR="00A86545" w:rsidRPr="00A86545" w:rsidRDefault="00A86545" w:rsidP="00A86545">
      <w:pPr>
        <w:pStyle w:val="parrafo2"/>
        <w:spacing w:before="360" w:beforeAutospacing="0" w:after="180" w:afterAutospacing="0"/>
        <w:ind w:left="360"/>
        <w:jc w:val="both"/>
        <w:rPr>
          <w:color w:val="FF0000"/>
          <w:sz w:val="22"/>
          <w:szCs w:val="22"/>
        </w:rPr>
      </w:pPr>
      <w:r w:rsidRPr="00A86545">
        <w:rPr>
          <w:color w:val="FF0000"/>
          <w:sz w:val="22"/>
          <w:szCs w:val="22"/>
        </w:rPr>
        <w:t>l) Las disminuciones de valor originadas por aplicación del criterio del valor razonable correspondientes a valores representativos de las participaciones en el capital o en los fondos propios de entidades a que se refiere la letra anterior, que se imputen en la cuenta de pérdidas y ganancias, salvo que, con carácter previo, se haya integrado en la base imponible, en su caso, un incremento de valor correspondiente a valores homogéneos del mismo importe.</w:t>
      </w:r>
    </w:p>
    <w:p w:rsidR="00A86545" w:rsidRPr="00A86545" w:rsidRDefault="00A86545" w:rsidP="00A86545">
      <w:pPr>
        <w:pStyle w:val="parrafo"/>
        <w:spacing w:before="180" w:beforeAutospacing="0" w:after="180" w:afterAutospacing="0"/>
        <w:ind w:left="360"/>
        <w:jc w:val="both"/>
        <w:rPr>
          <w:color w:val="FF0000"/>
          <w:sz w:val="22"/>
          <w:szCs w:val="22"/>
        </w:rPr>
      </w:pPr>
      <w:r w:rsidRPr="00A86545">
        <w:rPr>
          <w:color w:val="FF0000"/>
          <w:sz w:val="22"/>
          <w:szCs w:val="22"/>
        </w:rPr>
        <w:t>m) La deuda tributaria del Impuesto sobre Transmisiones Patrimoniales y Actos Jurídicos Documentados, modalidad Actos Jurídicos Documentados, documentos notariales, en los supuestos a que se refiere el párrafo segundo del artículo 29 del Texto refundido de la Ley del Impuesto sobre Transmisiones Patrimoniales y Act</w:t>
      </w:r>
      <w:r w:rsidR="009729D8">
        <w:rPr>
          <w:color w:val="FF0000"/>
          <w:sz w:val="22"/>
          <w:szCs w:val="22"/>
        </w:rPr>
        <w:t>os Jurídicos Documentados (préstamos hipotecarios en los que es sujeto pasivo el prestamista)</w:t>
      </w:r>
    </w:p>
    <w:p w:rsidR="00A86545" w:rsidRDefault="00A86545" w:rsidP="00A86545">
      <w:pPr>
        <w:pStyle w:val="Prrafodelista"/>
        <w:rPr>
          <w:lang w:eastAsia="es-ES"/>
        </w:rPr>
      </w:pPr>
    </w:p>
    <w:p w:rsidR="00DF7BBD" w:rsidRDefault="00DF7BBD" w:rsidP="00A86545">
      <w:pPr>
        <w:pStyle w:val="Prrafodelista"/>
        <w:numPr>
          <w:ilvl w:val="1"/>
          <w:numId w:val="1"/>
        </w:numPr>
        <w:rPr>
          <w:lang w:eastAsia="es-ES"/>
        </w:rPr>
      </w:pPr>
      <w:r>
        <w:rPr>
          <w:lang w:eastAsia="es-ES"/>
        </w:rPr>
        <w:t>REGLAS DE VALORACIÓN</w:t>
      </w:r>
    </w:p>
    <w:p w:rsidR="00DF7BBD" w:rsidRDefault="00A86545" w:rsidP="00A86545">
      <w:pPr>
        <w:ind w:left="360"/>
        <w:rPr>
          <w:lang w:eastAsia="es-ES"/>
        </w:rPr>
      </w:pPr>
      <w:r>
        <w:rPr>
          <w:lang w:eastAsia="es-ES"/>
        </w:rPr>
        <w:t xml:space="preserve">7.4.1 </w:t>
      </w:r>
      <w:r w:rsidR="00DF7BBD">
        <w:rPr>
          <w:lang w:eastAsia="es-ES"/>
        </w:rPr>
        <w:t>Regla general.</w:t>
      </w:r>
    </w:p>
    <w:p w:rsidR="00DF7BBD" w:rsidRDefault="00DF7BBD" w:rsidP="00A86545">
      <w:pPr>
        <w:ind w:left="360"/>
        <w:rPr>
          <w:lang w:eastAsia="es-ES"/>
        </w:rPr>
      </w:pPr>
      <w:r>
        <w:rPr>
          <w:lang w:eastAsia="es-ES"/>
        </w:rPr>
        <w:lastRenderedPageBreak/>
        <w:t xml:space="preserve">Según el artículo 17 de la LIS, los elementos patrimoniales se </w:t>
      </w:r>
      <w:r w:rsidR="00F743EF">
        <w:rPr>
          <w:lang w:eastAsia="es-ES"/>
        </w:rPr>
        <w:t>valorarán</w:t>
      </w:r>
      <w:r w:rsidR="00A04FEE">
        <w:rPr>
          <w:lang w:eastAsia="es-ES"/>
        </w:rPr>
        <w:t xml:space="preserve"> según el Código de Comercio corregidos por la aplicación de los preceptos establecidos en la LIS.</w:t>
      </w:r>
    </w:p>
    <w:p w:rsidR="00DF7BBD" w:rsidRPr="00E44065" w:rsidRDefault="00DF7BBD" w:rsidP="00A86545">
      <w:pPr>
        <w:ind w:left="360"/>
        <w:rPr>
          <w:color w:val="FF0000"/>
          <w:lang w:eastAsia="es-ES"/>
        </w:rPr>
      </w:pPr>
      <w:r w:rsidRPr="00E44065">
        <w:rPr>
          <w:color w:val="FF0000"/>
          <w:lang w:eastAsia="es-ES"/>
        </w:rPr>
        <w:t xml:space="preserve">Las variaciones de valor originadas por la </w:t>
      </w:r>
      <w:r w:rsidR="00F743EF" w:rsidRPr="00E44065">
        <w:rPr>
          <w:color w:val="FF0000"/>
          <w:lang w:eastAsia="es-ES"/>
        </w:rPr>
        <w:t>aplicación</w:t>
      </w:r>
      <w:r w:rsidRPr="00E44065">
        <w:rPr>
          <w:color w:val="FF0000"/>
          <w:lang w:eastAsia="es-ES"/>
        </w:rPr>
        <w:t xml:space="preserve"> del valor razonable no tendrán efectos fiscales mientras no deban imputarse a </w:t>
      </w:r>
      <w:r w:rsidR="00F743EF" w:rsidRPr="00E44065">
        <w:rPr>
          <w:color w:val="FF0000"/>
          <w:lang w:eastAsia="es-ES"/>
        </w:rPr>
        <w:t>pérdidas</w:t>
      </w:r>
      <w:r w:rsidRPr="00E44065">
        <w:rPr>
          <w:color w:val="FF0000"/>
          <w:lang w:eastAsia="es-ES"/>
        </w:rPr>
        <w:t xml:space="preserve"> y ganancias</w:t>
      </w:r>
      <w:r w:rsidR="00E44065" w:rsidRPr="00E44065">
        <w:rPr>
          <w:color w:val="FF0000"/>
          <w:lang w:eastAsia="es-ES"/>
        </w:rPr>
        <w:t xml:space="preserve"> o a una cuenta de reservas si así lo establece una norma legal o reglamentaria</w:t>
      </w:r>
      <w:r w:rsidRPr="00E44065">
        <w:rPr>
          <w:color w:val="FF0000"/>
          <w:lang w:eastAsia="es-ES"/>
        </w:rPr>
        <w:t xml:space="preserve">. El importe de las </w:t>
      </w:r>
      <w:r w:rsidR="00F743EF" w:rsidRPr="00E44065">
        <w:rPr>
          <w:color w:val="FF0000"/>
          <w:lang w:eastAsia="es-ES"/>
        </w:rPr>
        <w:t>revalorizaciones</w:t>
      </w:r>
      <w:r w:rsidRPr="00E44065">
        <w:rPr>
          <w:color w:val="FF0000"/>
          <w:lang w:eastAsia="es-ES"/>
        </w:rPr>
        <w:t xml:space="preserve"> contables no se </w:t>
      </w:r>
      <w:r w:rsidR="00F743EF" w:rsidRPr="00E44065">
        <w:rPr>
          <w:color w:val="FF0000"/>
          <w:lang w:eastAsia="es-ES"/>
        </w:rPr>
        <w:t>integrará</w:t>
      </w:r>
      <w:r w:rsidRPr="00E44065">
        <w:rPr>
          <w:color w:val="FF0000"/>
          <w:lang w:eastAsia="es-ES"/>
        </w:rPr>
        <w:t xml:space="preserve"> en la </w:t>
      </w:r>
      <w:r w:rsidR="00F743EF" w:rsidRPr="00E44065">
        <w:rPr>
          <w:color w:val="FF0000"/>
          <w:lang w:eastAsia="es-ES"/>
        </w:rPr>
        <w:t>base</w:t>
      </w:r>
      <w:r w:rsidR="00E44065" w:rsidRPr="00E44065">
        <w:rPr>
          <w:color w:val="FF0000"/>
          <w:lang w:eastAsia="es-ES"/>
        </w:rPr>
        <w:t xml:space="preserve"> imponible, salvo que normas legales o reglamentarias obliguen a ello. El importe de la revalorización no integrada en la base imponible no determinará un mayor valor a efectos fiscales de los elementos revalorizados.</w:t>
      </w:r>
    </w:p>
    <w:p w:rsidR="001872FE" w:rsidRDefault="001872FE" w:rsidP="00A86545">
      <w:pPr>
        <w:pStyle w:val="Prrafodelista"/>
        <w:numPr>
          <w:ilvl w:val="2"/>
          <w:numId w:val="40"/>
        </w:numPr>
        <w:ind w:left="1080"/>
        <w:rPr>
          <w:lang w:eastAsia="es-ES"/>
        </w:rPr>
      </w:pPr>
      <w:r>
        <w:rPr>
          <w:lang w:eastAsia="es-ES"/>
        </w:rPr>
        <w:t>Transmisiones lucrativas y societarias (art 17 de la LIS)</w:t>
      </w:r>
    </w:p>
    <w:p w:rsidR="00DF7BBD" w:rsidRDefault="00DF7BBD" w:rsidP="00A86545">
      <w:pPr>
        <w:ind w:left="360"/>
        <w:rPr>
          <w:lang w:eastAsia="es-ES"/>
        </w:rPr>
      </w:pPr>
      <w:r>
        <w:rPr>
          <w:lang w:eastAsia="es-ES"/>
        </w:rPr>
        <w:t>Destacamos como reglas especiales:</w:t>
      </w:r>
    </w:p>
    <w:p w:rsidR="00DF7BBD" w:rsidRPr="00DF7BBD" w:rsidRDefault="00DF7BBD" w:rsidP="00A86545">
      <w:pPr>
        <w:ind w:left="360"/>
        <w:rPr>
          <w:lang w:eastAsia="es-ES"/>
        </w:rPr>
      </w:pPr>
      <w:r w:rsidRPr="00DF7BBD">
        <w:rPr>
          <w:lang w:eastAsia="es-ES"/>
        </w:rPr>
        <w:t xml:space="preserve">1. Los elementos patrimoniales transmitidos en virtud de fusión y escisión total o parcial, se valorarán, en sede de las entidades y de sus socios, </w:t>
      </w:r>
      <w:r w:rsidR="001872FE">
        <w:rPr>
          <w:lang w:eastAsia="es-ES"/>
        </w:rPr>
        <w:t>con carácter general, de acuerdo con lo establecido en el régimen especial de fusiones y escisiones de la LIS.</w:t>
      </w:r>
    </w:p>
    <w:p w:rsidR="00DF7BBD" w:rsidRDefault="001872FE" w:rsidP="00A86545">
      <w:pPr>
        <w:ind w:left="360"/>
        <w:rPr>
          <w:lang w:eastAsia="es-ES"/>
        </w:rPr>
      </w:pPr>
      <w:r>
        <w:rPr>
          <w:lang w:eastAsia="es-ES"/>
        </w:rPr>
        <w:t>2</w:t>
      </w:r>
      <w:r w:rsidR="00DF7BBD" w:rsidRPr="00DF7BBD">
        <w:rPr>
          <w:lang w:eastAsia="es-ES"/>
        </w:rPr>
        <w:t>. Se valorarán por su valor de mercado los siguientes elementos patrimoniales:</w:t>
      </w:r>
    </w:p>
    <w:p w:rsidR="00365282" w:rsidRDefault="00365282" w:rsidP="001872FE">
      <w:pPr>
        <w:pStyle w:val="Prrafodelista"/>
        <w:numPr>
          <w:ilvl w:val="0"/>
          <w:numId w:val="28"/>
        </w:numPr>
        <w:rPr>
          <w:lang w:eastAsia="es-ES"/>
        </w:rPr>
      </w:pPr>
      <w:r w:rsidRPr="00DF7BBD">
        <w:rPr>
          <w:lang w:eastAsia="es-ES"/>
        </w:rPr>
        <w:t>Los transmitidos o adquiridos a título lucrativo. No tendrán esta consideración las subvenciones.</w:t>
      </w:r>
    </w:p>
    <w:p w:rsidR="00365282" w:rsidRDefault="00DF7BBD" w:rsidP="001B41B7">
      <w:pPr>
        <w:pStyle w:val="Prrafodelista"/>
        <w:numPr>
          <w:ilvl w:val="0"/>
          <w:numId w:val="28"/>
        </w:numPr>
        <w:rPr>
          <w:lang w:eastAsia="es-ES"/>
        </w:rPr>
      </w:pPr>
      <w:r w:rsidRPr="00DF7BBD">
        <w:rPr>
          <w:lang w:eastAsia="es-ES"/>
        </w:rPr>
        <w:t xml:space="preserve">Los aportados a entidades y los valores recibidos en contraprestación, salvo que resulte de aplicación </w:t>
      </w:r>
      <w:r w:rsidR="001872FE">
        <w:rPr>
          <w:lang w:eastAsia="es-ES"/>
        </w:rPr>
        <w:t>su régimen especial.</w:t>
      </w:r>
    </w:p>
    <w:p w:rsidR="00365282" w:rsidRDefault="00DF7BBD" w:rsidP="001B41B7">
      <w:pPr>
        <w:pStyle w:val="Prrafodelista"/>
        <w:numPr>
          <w:ilvl w:val="0"/>
          <w:numId w:val="28"/>
        </w:numPr>
        <w:rPr>
          <w:lang w:eastAsia="es-ES"/>
        </w:rPr>
      </w:pPr>
      <w:r w:rsidRPr="00DF7BBD">
        <w:rPr>
          <w:lang w:eastAsia="es-ES"/>
        </w:rPr>
        <w:t xml:space="preserve">Los transmitidos a los socios por causa de disolución, separación de </w:t>
      </w:r>
      <w:r w:rsidR="001872FE" w:rsidRPr="00DF7BBD">
        <w:rPr>
          <w:lang w:eastAsia="es-ES"/>
        </w:rPr>
        <w:t>estos</w:t>
      </w:r>
      <w:r w:rsidRPr="00DF7BBD">
        <w:rPr>
          <w:lang w:eastAsia="es-ES"/>
        </w:rPr>
        <w:t>, reducción del capital con devolución de aportaciones, reparto de la prima de emisión y distribución de beneficios.</w:t>
      </w:r>
    </w:p>
    <w:p w:rsidR="00365282" w:rsidRDefault="00DF7BBD" w:rsidP="001B41B7">
      <w:pPr>
        <w:pStyle w:val="Prrafodelista"/>
        <w:numPr>
          <w:ilvl w:val="0"/>
          <w:numId w:val="28"/>
        </w:numPr>
        <w:rPr>
          <w:lang w:eastAsia="es-ES"/>
        </w:rPr>
      </w:pPr>
      <w:r w:rsidRPr="00DF7BBD">
        <w:rPr>
          <w:lang w:eastAsia="es-ES"/>
        </w:rPr>
        <w:t xml:space="preserve">Los transmitidos en virtud de fusión, y escisión total o parcial, salvo que resulte de </w:t>
      </w:r>
      <w:r w:rsidR="001872FE">
        <w:rPr>
          <w:lang w:eastAsia="es-ES"/>
        </w:rPr>
        <w:t>aplicación su régimen especial.</w:t>
      </w:r>
    </w:p>
    <w:p w:rsidR="00365282" w:rsidRDefault="00DF7BBD" w:rsidP="001B41B7">
      <w:pPr>
        <w:pStyle w:val="Prrafodelista"/>
        <w:numPr>
          <w:ilvl w:val="0"/>
          <w:numId w:val="28"/>
        </w:numPr>
        <w:rPr>
          <w:lang w:eastAsia="es-ES"/>
        </w:rPr>
      </w:pPr>
      <w:r w:rsidRPr="00DF7BBD">
        <w:rPr>
          <w:lang w:eastAsia="es-ES"/>
        </w:rPr>
        <w:t>Los adquiridos por permuta.</w:t>
      </w:r>
    </w:p>
    <w:p w:rsidR="001872FE" w:rsidRDefault="00DF7BBD" w:rsidP="001872FE">
      <w:pPr>
        <w:pStyle w:val="Prrafodelista"/>
        <w:numPr>
          <w:ilvl w:val="0"/>
          <w:numId w:val="28"/>
        </w:numPr>
        <w:rPr>
          <w:lang w:eastAsia="es-ES"/>
        </w:rPr>
      </w:pPr>
      <w:r w:rsidRPr="00DF7BBD">
        <w:rPr>
          <w:lang w:eastAsia="es-ES"/>
        </w:rPr>
        <w:t>Los adquiridos por canje o conversión, salvo que resulte de aplicación</w:t>
      </w:r>
      <w:r w:rsidR="001872FE">
        <w:rPr>
          <w:lang w:eastAsia="es-ES"/>
        </w:rPr>
        <w:t xml:space="preserve"> su régimen especial.</w:t>
      </w:r>
    </w:p>
    <w:p w:rsidR="000D49D7" w:rsidRDefault="000D49D7" w:rsidP="000D49D7">
      <w:pPr>
        <w:pStyle w:val="Prrafodelista"/>
        <w:rPr>
          <w:lang w:eastAsia="es-ES"/>
        </w:rPr>
      </w:pPr>
    </w:p>
    <w:p w:rsidR="001872FE" w:rsidRDefault="001872FE" w:rsidP="00A86545">
      <w:pPr>
        <w:pStyle w:val="Prrafodelista"/>
        <w:numPr>
          <w:ilvl w:val="2"/>
          <w:numId w:val="40"/>
        </w:numPr>
        <w:rPr>
          <w:lang w:eastAsia="es-ES"/>
        </w:rPr>
      </w:pPr>
      <w:r>
        <w:rPr>
          <w:lang w:eastAsia="es-ES"/>
        </w:rPr>
        <w:t>Operaciones vinculadas (art 18 de la LIS)</w:t>
      </w:r>
    </w:p>
    <w:p w:rsidR="00DF7BBD" w:rsidRDefault="001872FE" w:rsidP="00DF7BBD">
      <w:pPr>
        <w:rPr>
          <w:lang w:eastAsia="es-ES"/>
        </w:rPr>
      </w:pPr>
      <w:r>
        <w:rPr>
          <w:lang w:eastAsia="es-ES"/>
        </w:rPr>
        <w:t>Las operaciones efectuadas entre personas vinculadas se valorarán por su valor de mercado. La Administración tributaria podrá comprobar las operaciones realizadas entre personas vinculadas.</w:t>
      </w:r>
    </w:p>
    <w:p w:rsidR="00A04FEE" w:rsidRDefault="00707CC8" w:rsidP="00A86545">
      <w:pPr>
        <w:pStyle w:val="Prrafodelista"/>
        <w:numPr>
          <w:ilvl w:val="0"/>
          <w:numId w:val="40"/>
        </w:numPr>
        <w:rPr>
          <w:lang w:eastAsia="es-ES"/>
        </w:rPr>
      </w:pPr>
      <w:r>
        <w:rPr>
          <w:lang w:eastAsia="es-ES"/>
        </w:rPr>
        <w:t>EXENCIONES PARA ELIMINAR</w:t>
      </w:r>
      <w:r w:rsidR="00A04FEE">
        <w:rPr>
          <w:lang w:eastAsia="es-ES"/>
        </w:rPr>
        <w:t xml:space="preserve"> LA DOBLE IMPOSICIÓN </w:t>
      </w:r>
    </w:p>
    <w:p w:rsidR="00A04FEE" w:rsidRDefault="00A04FEE" w:rsidP="00A04FEE">
      <w:pPr>
        <w:rPr>
          <w:lang w:eastAsia="es-ES"/>
        </w:rPr>
      </w:pPr>
      <w:r>
        <w:rPr>
          <w:lang w:eastAsia="es-ES"/>
        </w:rPr>
        <w:t>Regulado en el artículo 21 y 22 de la LIS.</w:t>
      </w:r>
    </w:p>
    <w:p w:rsidR="00DC1FF0" w:rsidRDefault="00707CC8" w:rsidP="00DC1FF0">
      <w:r>
        <w:t>8</w:t>
      </w:r>
      <w:r w:rsidR="00387D7D">
        <w:t xml:space="preserve">.1 EXENCION </w:t>
      </w:r>
      <w:r w:rsidR="00DC1FF0">
        <w:t>SOBRE DIVIDENDOS Y RENTAS DERIVADAS DE LA TRANSMISIÓN DE VALORES REPRESENTATIVOS DE LOS FONDOS PROPIOS DE ENTIDADES RESIDENTES Y NO RESIDENTES EN TERRITORIO ESPAÑOL (21 DE LA LIS)</w:t>
      </w:r>
    </w:p>
    <w:p w:rsidR="00DC1FF0" w:rsidRDefault="00387D7D" w:rsidP="00DC1FF0">
      <w:r>
        <w:t>Estarán exenta</w:t>
      </w:r>
      <w:r w:rsidR="00DC1FF0">
        <w:t>s</w:t>
      </w:r>
      <w:r>
        <w:t xml:space="preserve"> </w:t>
      </w:r>
      <w:r w:rsidR="0059199A">
        <w:t>estas rentas</w:t>
      </w:r>
      <w:r w:rsidR="00DC1FF0">
        <w:t xml:space="preserve"> cuando se cumplan los siguientes requisitos:</w:t>
      </w:r>
    </w:p>
    <w:p w:rsidR="00DC1FF0" w:rsidRDefault="00DC1FF0" w:rsidP="00DC1FF0">
      <w:pPr>
        <w:pStyle w:val="Prrafodelista"/>
        <w:numPr>
          <w:ilvl w:val="0"/>
          <w:numId w:val="35"/>
        </w:numPr>
      </w:pPr>
      <w:r>
        <w:t>Que el porcentaje de participación en el capital o en los fondos propios (FP) sea al menos del 5 por ciento o que el valor de adquisición de la participación sea superior a 20 millones de euros. La participación se deberá tener ininterrumpidamente durante el año anterior al día en que sea exigible el beneficio que se distribuya, o si no, se deberá mantener posteriormente para completar dicho plazo.</w:t>
      </w:r>
    </w:p>
    <w:p w:rsidR="00DC1FF0" w:rsidRDefault="00DC1FF0" w:rsidP="00DC1FF0">
      <w:pPr>
        <w:pStyle w:val="Prrafodelista"/>
        <w:numPr>
          <w:ilvl w:val="0"/>
          <w:numId w:val="35"/>
        </w:numPr>
      </w:pPr>
      <w:r>
        <w:t>En el caso de participaciones en el capital o en los FP de entidades no residentes en territorio español, que la entidad participada haya estado sujeta y no exenta por un impuesto extranjero de al menos 10 por ciento.</w:t>
      </w:r>
    </w:p>
    <w:p w:rsidR="00DC1FF0" w:rsidRDefault="00707CC8" w:rsidP="00DC1FF0">
      <w:r>
        <w:lastRenderedPageBreak/>
        <w:t>8</w:t>
      </w:r>
      <w:r w:rsidR="00DC1FF0">
        <w:t>.2 EXENCIÓN DE LAS RENTAS OBTENIDAS EN EL EXTRANJERO A TRAVÉS DE UN ESTABLECIMIENTO PERMANENTE (ART 22 LIS)</w:t>
      </w:r>
    </w:p>
    <w:p w:rsidR="00DC1FF0" w:rsidRDefault="00DC1FF0" w:rsidP="00A04FEE">
      <w:r>
        <w:t>Estarán exentas las rentas positivas obtenidas en el extranjero a través de un establecimiento permanente cuando el mismo haya estado sujeto y no exento a un impuesto de naturaleza idéntica</w:t>
      </w:r>
      <w:r w:rsidR="00387D7D">
        <w:t xml:space="preserve"> con</w:t>
      </w:r>
      <w:r>
        <w:t xml:space="preserve"> al menos</w:t>
      </w:r>
      <w:r w:rsidR="00387D7D">
        <w:t xml:space="preserve"> un tipo nominal del</w:t>
      </w:r>
      <w:r>
        <w:t xml:space="preserve"> 10 por ciento.</w:t>
      </w:r>
    </w:p>
    <w:p w:rsidR="00A04FEE" w:rsidRDefault="00A04FEE" w:rsidP="00707CC8">
      <w:pPr>
        <w:pStyle w:val="Prrafodelista"/>
        <w:numPr>
          <w:ilvl w:val="0"/>
          <w:numId w:val="43"/>
        </w:numPr>
        <w:rPr>
          <w:lang w:eastAsia="es-ES"/>
        </w:rPr>
      </w:pPr>
      <w:r>
        <w:rPr>
          <w:lang w:eastAsia="es-ES"/>
        </w:rPr>
        <w:t>REDUCCIONES EN LA BASE IMPONIBLE</w:t>
      </w:r>
    </w:p>
    <w:p w:rsidR="00707CC8" w:rsidRDefault="00707CC8" w:rsidP="00707CC8">
      <w:pPr>
        <w:pStyle w:val="Prrafodelista"/>
        <w:ind w:left="360"/>
        <w:rPr>
          <w:lang w:eastAsia="es-ES"/>
        </w:rPr>
      </w:pPr>
    </w:p>
    <w:p w:rsidR="00A04FEE" w:rsidRDefault="00707CC8" w:rsidP="00707CC8">
      <w:pPr>
        <w:pStyle w:val="Prrafodelista"/>
        <w:numPr>
          <w:ilvl w:val="1"/>
          <w:numId w:val="43"/>
        </w:numPr>
        <w:rPr>
          <w:lang w:eastAsia="es-ES"/>
        </w:rPr>
      </w:pPr>
      <w:r>
        <w:rPr>
          <w:lang w:eastAsia="es-ES"/>
        </w:rPr>
        <w:t xml:space="preserve"> </w:t>
      </w:r>
      <w:r w:rsidR="00A04FEE">
        <w:rPr>
          <w:lang w:eastAsia="es-ES"/>
        </w:rPr>
        <w:t>Reducción de las rentas procedentes de determinados activos intangibles (art 23 de la LIS)</w:t>
      </w:r>
    </w:p>
    <w:p w:rsidR="00A04FEE" w:rsidRDefault="00A04FEE" w:rsidP="00A04FEE">
      <w:pPr>
        <w:rPr>
          <w:lang w:eastAsia="es-ES"/>
        </w:rPr>
      </w:pPr>
      <w:r>
        <w:rPr>
          <w:lang w:eastAsia="es-ES"/>
        </w:rPr>
        <w:t>Las rentas procedentes de la cesión del derecho de uso o de explotació</w:t>
      </w:r>
      <w:r w:rsidR="00A83189">
        <w:rPr>
          <w:lang w:eastAsia="es-ES"/>
        </w:rPr>
        <w:t>n de patentes, planos, modelos de utilidad y software avanzado que deriven de actividades de investigación, desarrollo e innovación</w:t>
      </w:r>
      <w:bookmarkStart w:id="0" w:name="_GoBack"/>
      <w:bookmarkEnd w:id="0"/>
      <w:r>
        <w:rPr>
          <w:lang w:eastAsia="es-ES"/>
        </w:rPr>
        <w:t xml:space="preserve"> tendrán derecho a una reducción en la base imposible en un 60 por ciento cuando se cumplan los requisitos del artículo 23 de la LIS.</w:t>
      </w:r>
    </w:p>
    <w:p w:rsidR="00A04FEE" w:rsidRDefault="00707CC8" w:rsidP="00A04FEE">
      <w:pPr>
        <w:rPr>
          <w:lang w:eastAsia="es-ES"/>
        </w:rPr>
      </w:pPr>
      <w:r>
        <w:rPr>
          <w:lang w:eastAsia="es-ES"/>
        </w:rPr>
        <w:t>9</w:t>
      </w:r>
      <w:r w:rsidR="005733BA">
        <w:rPr>
          <w:lang w:eastAsia="es-ES"/>
        </w:rPr>
        <w:t>.2</w:t>
      </w:r>
      <w:r w:rsidR="00A04FEE">
        <w:rPr>
          <w:lang w:eastAsia="es-ES"/>
        </w:rPr>
        <w:t xml:space="preserve"> Obra benéfico-social de las cajas de ahorro y fundaciones bancarias (art 24 de la LIS)</w:t>
      </w:r>
    </w:p>
    <w:p w:rsidR="00A04FEE" w:rsidRDefault="00A04FEE" w:rsidP="00A04FEE">
      <w:pPr>
        <w:rPr>
          <w:lang w:eastAsia="es-ES"/>
        </w:rPr>
      </w:pPr>
      <w:r>
        <w:rPr>
          <w:lang w:eastAsia="es-ES"/>
        </w:rPr>
        <w:t>Serán deducibles fiscalmente las cantidades que las cajas de ahorro y las fundaciones bancarias destinen a obras</w:t>
      </w:r>
      <w:r w:rsidR="00763416">
        <w:rPr>
          <w:lang w:eastAsia="es-ES"/>
        </w:rPr>
        <w:t xml:space="preserve"> benéficas de acuerdo con las normas por las que se rigen.</w:t>
      </w:r>
    </w:p>
    <w:p w:rsidR="00A04FEE" w:rsidRDefault="00707CC8" w:rsidP="00A04FEE">
      <w:pPr>
        <w:rPr>
          <w:lang w:eastAsia="es-ES"/>
        </w:rPr>
      </w:pPr>
      <w:r>
        <w:rPr>
          <w:lang w:eastAsia="es-ES"/>
        </w:rPr>
        <w:t>9</w:t>
      </w:r>
      <w:r w:rsidR="005733BA">
        <w:rPr>
          <w:lang w:eastAsia="es-ES"/>
        </w:rPr>
        <w:t xml:space="preserve">.3 </w:t>
      </w:r>
      <w:r w:rsidR="00A04FEE">
        <w:rPr>
          <w:lang w:eastAsia="es-ES"/>
        </w:rPr>
        <w:t>Reserva de capitalización (art. 25 de la LIS)</w:t>
      </w:r>
    </w:p>
    <w:p w:rsidR="00A04FEE" w:rsidRDefault="00A04FEE" w:rsidP="00A04FEE">
      <w:pPr>
        <w:rPr>
          <w:lang w:eastAsia="es-ES"/>
        </w:rPr>
      </w:pPr>
      <w:r>
        <w:rPr>
          <w:lang w:eastAsia="es-ES"/>
        </w:rPr>
        <w:t>No tributa la parte del beneficio que se destine a la constitución de una reserva indisponible. La finalidad es potenciar la capitalización empresarial mediante le incremento del patrimonio neto y con ello incentivar el saneamiento de las empresas.</w:t>
      </w:r>
    </w:p>
    <w:p w:rsidR="00A04FEE" w:rsidRDefault="00A04FEE" w:rsidP="00A04FEE">
      <w:pPr>
        <w:rPr>
          <w:lang w:eastAsia="es-ES"/>
        </w:rPr>
      </w:pPr>
      <w:r>
        <w:rPr>
          <w:lang w:eastAsia="es-ES"/>
        </w:rPr>
        <w:t>Los contribuyentes que tributen al tipo general y las entidades de nueva creación y las que tributen al 30 por ciento tendrán derecho a una reducción en la base imponible del 10 por ciento del incremento de los fondos propios cuando se cumplan:</w:t>
      </w:r>
    </w:p>
    <w:p w:rsidR="00A04FEE" w:rsidRDefault="00A04FEE" w:rsidP="00A04FEE">
      <w:pPr>
        <w:pStyle w:val="Prrafodelista"/>
        <w:numPr>
          <w:ilvl w:val="0"/>
          <w:numId w:val="20"/>
        </w:numPr>
        <w:rPr>
          <w:lang w:eastAsia="es-ES"/>
        </w:rPr>
      </w:pPr>
      <w:r>
        <w:rPr>
          <w:lang w:eastAsia="es-ES"/>
        </w:rPr>
        <w:t>Que el incremento se mantenga durante 5 años desde el cierre del periodo impositivo al que corresponda esta reducción salvo por la existencia de perdidas contables en la entidad.</w:t>
      </w:r>
    </w:p>
    <w:p w:rsidR="00A04FEE" w:rsidRDefault="00A04FEE" w:rsidP="00A04FEE">
      <w:pPr>
        <w:pStyle w:val="Prrafodelista"/>
        <w:numPr>
          <w:ilvl w:val="0"/>
          <w:numId w:val="20"/>
        </w:numPr>
        <w:rPr>
          <w:lang w:eastAsia="es-ES"/>
        </w:rPr>
      </w:pPr>
      <w:r>
        <w:rPr>
          <w:lang w:eastAsia="es-ES"/>
        </w:rPr>
        <w:t>Que se dote una reserva por el importe de la reducción que será indisponible durante el plazo anterior.</w:t>
      </w:r>
    </w:p>
    <w:p w:rsidR="00A04FEE" w:rsidRDefault="00A04FEE" w:rsidP="00A04FEE">
      <w:pPr>
        <w:rPr>
          <w:lang w:eastAsia="es-ES"/>
        </w:rPr>
      </w:pPr>
      <w:r>
        <w:rPr>
          <w:lang w:eastAsia="es-ES"/>
        </w:rPr>
        <w:t>En caso de insuficiente base imponible para aplicar la reducción las cantidades pendientes se puede aplicar en periodos que finalicen en los 2 años sucesivos al cierre del periodo en que se haya generado el derecho a la reducción.</w:t>
      </w:r>
    </w:p>
    <w:p w:rsidR="00A04FEE" w:rsidRDefault="00A04FEE" w:rsidP="00A04FEE">
      <w:pPr>
        <w:pStyle w:val="Sinespaciado"/>
        <w:rPr>
          <w:lang w:eastAsia="es-ES"/>
        </w:rPr>
      </w:pPr>
    </w:p>
    <w:p w:rsidR="00A04FEE" w:rsidRDefault="00707CC8" w:rsidP="005733BA">
      <w:pPr>
        <w:rPr>
          <w:lang w:eastAsia="es-ES"/>
        </w:rPr>
      </w:pPr>
      <w:r>
        <w:rPr>
          <w:lang w:eastAsia="es-ES"/>
        </w:rPr>
        <w:t>9</w:t>
      </w:r>
      <w:r w:rsidR="005733BA">
        <w:rPr>
          <w:lang w:eastAsia="es-ES"/>
        </w:rPr>
        <w:t>.</w:t>
      </w:r>
      <w:r w:rsidR="00A04FEE">
        <w:rPr>
          <w:lang w:eastAsia="es-ES"/>
        </w:rPr>
        <w:t>4 Compensación de bases imponibles negativas (art. 26 de la LIS)</w:t>
      </w:r>
    </w:p>
    <w:p w:rsidR="00763416" w:rsidRDefault="00A04FEE" w:rsidP="00A04FEE">
      <w:pPr>
        <w:rPr>
          <w:lang w:eastAsia="es-ES"/>
        </w:rPr>
      </w:pPr>
      <w:r>
        <w:rPr>
          <w:lang w:eastAsia="es-ES"/>
        </w:rPr>
        <w:t>Las bases imponibles negativas podrán ser compensadas con las rentas positivas de los periodos siguientes con el límite</w:t>
      </w:r>
      <w:r w:rsidR="00763416">
        <w:rPr>
          <w:lang w:eastAsia="es-ES"/>
        </w:rPr>
        <w:t xml:space="preserve"> del 7</w:t>
      </w:r>
      <w:r>
        <w:rPr>
          <w:lang w:eastAsia="es-ES"/>
        </w:rPr>
        <w:t>0 por ciento de la base imponible previa a la aplicación de la reserva de capitalización.</w:t>
      </w:r>
    </w:p>
    <w:p w:rsidR="00763416" w:rsidRDefault="00763416" w:rsidP="00A04FEE">
      <w:pPr>
        <w:rPr>
          <w:lang w:eastAsia="es-ES"/>
        </w:rPr>
      </w:pPr>
      <w:r>
        <w:rPr>
          <w:lang w:eastAsia="es-ES"/>
        </w:rPr>
        <w:t>No obstante, en los periodos impositivos que se inicien a partir de 1 de enero de 2016 se establecen los siguientes límites:</w:t>
      </w:r>
    </w:p>
    <w:p w:rsidR="00763416" w:rsidRDefault="00763416" w:rsidP="00A04FEE">
      <w:pPr>
        <w:rPr>
          <w:lang w:eastAsia="es-ES"/>
        </w:rPr>
      </w:pPr>
      <w:r>
        <w:rPr>
          <w:lang w:eastAsia="es-ES"/>
        </w:rPr>
        <w:t>Contribuyentes con importe neto de la cifra de negocios igual o superior a 20 millones de euros, pero inferior a 60 millones de euros, el 50%</w:t>
      </w:r>
    </w:p>
    <w:p w:rsidR="00763416" w:rsidRDefault="00763416" w:rsidP="00A04FEE">
      <w:pPr>
        <w:rPr>
          <w:lang w:eastAsia="es-ES"/>
        </w:rPr>
      </w:pPr>
      <w:r>
        <w:rPr>
          <w:lang w:eastAsia="es-ES"/>
        </w:rPr>
        <w:t>Contribuyentes cuyo importe neto de la cifra de negocios sea al menos de 60 millones de euros, el 25%</w:t>
      </w:r>
    </w:p>
    <w:p w:rsidR="00A04FEE" w:rsidRDefault="00763416" w:rsidP="00A04FEE">
      <w:pPr>
        <w:rPr>
          <w:lang w:eastAsia="es-ES"/>
        </w:rPr>
      </w:pPr>
      <w:r>
        <w:rPr>
          <w:lang w:eastAsia="es-ES"/>
        </w:rPr>
        <w:lastRenderedPageBreak/>
        <w:t>En todo caso, s</w:t>
      </w:r>
      <w:r w:rsidR="00A04FEE">
        <w:rPr>
          <w:lang w:eastAsia="es-ES"/>
        </w:rPr>
        <w:t>e podrán compensar en el periodo impositivo las bases imponibles negativas hasta el límite del millón de euros.</w:t>
      </w:r>
    </w:p>
    <w:p w:rsidR="00A04FEE" w:rsidRDefault="00A04FEE" w:rsidP="00A04FEE">
      <w:pPr>
        <w:rPr>
          <w:lang w:eastAsia="es-ES"/>
        </w:rPr>
      </w:pPr>
      <w:r>
        <w:rPr>
          <w:lang w:eastAsia="es-ES"/>
        </w:rPr>
        <w:t>Este límite no se aplica en el periodo impositivo que se produzca la extinción de la entidad.</w:t>
      </w:r>
    </w:p>
    <w:p w:rsidR="00A04FEE" w:rsidRDefault="00A04FEE" w:rsidP="00A04FEE">
      <w:pPr>
        <w:rPr>
          <w:lang w:eastAsia="es-ES"/>
        </w:rPr>
      </w:pPr>
      <w:r>
        <w:rPr>
          <w:lang w:eastAsia="es-ES"/>
        </w:rPr>
        <w:t>Si el periodo impositivo tuviera una duración inferior al año, las bases a compensar será el resultado de multiplicar un millón por la proporción de la duración del periodo respecto al año.</w:t>
      </w:r>
    </w:p>
    <w:p w:rsidR="00A04FEE" w:rsidRDefault="00A04FEE" w:rsidP="00A04FEE">
      <w:pPr>
        <w:rPr>
          <w:lang w:eastAsia="es-ES"/>
        </w:rPr>
      </w:pPr>
      <w:r>
        <w:rPr>
          <w:lang w:eastAsia="es-ES"/>
        </w:rPr>
        <w:t>El derecho de la Administración para iniciar el procedimiento de comprobación de las bases imponibles negativas compensadas o pendientes de compensación prescribirá a los 10 años.</w:t>
      </w:r>
    </w:p>
    <w:p w:rsidR="00AD3C30" w:rsidRDefault="00AD3C30" w:rsidP="00AD3C30">
      <w:pPr>
        <w:pStyle w:val="Prrafodelista"/>
        <w:ind w:left="1080"/>
        <w:rPr>
          <w:lang w:eastAsia="es-ES"/>
        </w:rPr>
      </w:pPr>
    </w:p>
    <w:sectPr w:rsidR="00AD3C30" w:rsidSect="00951D7A">
      <w:footerReference w:type="default" r:id="rId8"/>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A31" w:rsidRDefault="00F21A31" w:rsidP="001B137D">
      <w:pPr>
        <w:spacing w:after="0" w:line="240" w:lineRule="auto"/>
      </w:pPr>
      <w:r>
        <w:separator/>
      </w:r>
    </w:p>
  </w:endnote>
  <w:endnote w:type="continuationSeparator" w:id="0">
    <w:p w:rsidR="00F21A31" w:rsidRDefault="00F21A31" w:rsidP="001B13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6644862"/>
      <w:docPartObj>
        <w:docPartGallery w:val="Page Numbers (Bottom of Page)"/>
        <w:docPartUnique/>
      </w:docPartObj>
    </w:sdtPr>
    <w:sdtContent>
      <w:p w:rsidR="001B41B7" w:rsidRDefault="00324CE7">
        <w:pPr>
          <w:pStyle w:val="Piedepgina"/>
          <w:jc w:val="right"/>
        </w:pPr>
        <w:fldSimple w:instr="PAGE   \* MERGEFORMAT">
          <w:r w:rsidR="00E44065">
            <w:rPr>
              <w:noProof/>
            </w:rPr>
            <w:t>10</w:t>
          </w:r>
        </w:fldSimple>
      </w:p>
    </w:sdtContent>
  </w:sdt>
  <w:p w:rsidR="001B41B7" w:rsidRDefault="001B41B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A31" w:rsidRDefault="00F21A31" w:rsidP="001B137D">
      <w:pPr>
        <w:spacing w:after="0" w:line="240" w:lineRule="auto"/>
      </w:pPr>
      <w:r>
        <w:separator/>
      </w:r>
    </w:p>
  </w:footnote>
  <w:footnote w:type="continuationSeparator" w:id="0">
    <w:p w:rsidR="00F21A31" w:rsidRDefault="00F21A31" w:rsidP="001B13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D6569"/>
    <w:multiLevelType w:val="multilevel"/>
    <w:tmpl w:val="6F7C5AA8"/>
    <w:lvl w:ilvl="0">
      <w:start w:val="9"/>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A058AA"/>
    <w:multiLevelType w:val="multilevel"/>
    <w:tmpl w:val="7BF6EF2E"/>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2BD4D93"/>
    <w:multiLevelType w:val="hybridMultilevel"/>
    <w:tmpl w:val="9FA6258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4DB03A2"/>
    <w:multiLevelType w:val="hybridMultilevel"/>
    <w:tmpl w:val="85C8E80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DD97EF0"/>
    <w:multiLevelType w:val="hybridMultilevel"/>
    <w:tmpl w:val="0C4AE144"/>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5">
    <w:nsid w:val="0E515FC8"/>
    <w:multiLevelType w:val="hybridMultilevel"/>
    <w:tmpl w:val="695C833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0F113C99"/>
    <w:multiLevelType w:val="hybridMultilevel"/>
    <w:tmpl w:val="0C509832"/>
    <w:lvl w:ilvl="0" w:tplc="AEC08580">
      <w:start w:val="1"/>
      <w:numFmt w:val="decimal"/>
      <w:lvlText w:val="%1."/>
      <w:lvlJc w:val="left"/>
      <w:pPr>
        <w:ind w:left="1080" w:hanging="360"/>
      </w:pPr>
      <w:rPr>
        <w:rFonts w:cs="Times New Roman" w:hint="default"/>
        <w:color w:val="333333"/>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
    <w:nsid w:val="11103B4A"/>
    <w:multiLevelType w:val="multilevel"/>
    <w:tmpl w:val="5158FC8C"/>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122551A4"/>
    <w:multiLevelType w:val="hybridMultilevel"/>
    <w:tmpl w:val="D40A254A"/>
    <w:lvl w:ilvl="0" w:tplc="AB5A1DE8">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6EB757A"/>
    <w:multiLevelType w:val="multilevel"/>
    <w:tmpl w:val="5158FC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18040401"/>
    <w:multiLevelType w:val="hybridMultilevel"/>
    <w:tmpl w:val="D59691B4"/>
    <w:lvl w:ilvl="0" w:tplc="70C24F8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18B0433E"/>
    <w:multiLevelType w:val="hybridMultilevel"/>
    <w:tmpl w:val="A2F2AE9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19A05382"/>
    <w:multiLevelType w:val="hybridMultilevel"/>
    <w:tmpl w:val="1916A14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1A3E00D3"/>
    <w:multiLevelType w:val="hybridMultilevel"/>
    <w:tmpl w:val="A078A53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1F5C52BF"/>
    <w:multiLevelType w:val="hybridMultilevel"/>
    <w:tmpl w:val="CA6653D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0186BB6"/>
    <w:multiLevelType w:val="hybridMultilevel"/>
    <w:tmpl w:val="D88CECF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27DE2314"/>
    <w:multiLevelType w:val="hybridMultilevel"/>
    <w:tmpl w:val="DC4AA2C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8352C75"/>
    <w:multiLevelType w:val="hybridMultilevel"/>
    <w:tmpl w:val="B38EF66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2CD22C0E"/>
    <w:multiLevelType w:val="hybridMultilevel"/>
    <w:tmpl w:val="7E308F38"/>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9">
    <w:nsid w:val="331979DD"/>
    <w:multiLevelType w:val="hybridMultilevel"/>
    <w:tmpl w:val="4D54199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80C5C73"/>
    <w:multiLevelType w:val="hybridMultilevel"/>
    <w:tmpl w:val="E45C54A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3D273875"/>
    <w:multiLevelType w:val="hybridMultilevel"/>
    <w:tmpl w:val="365A8C7E"/>
    <w:lvl w:ilvl="0" w:tplc="BE60E3C2">
      <w:start w:val="1"/>
      <w:numFmt w:val="decimal"/>
      <w:lvlText w:val="%1."/>
      <w:lvlJc w:val="left"/>
      <w:pPr>
        <w:ind w:left="720" w:hanging="360"/>
      </w:pPr>
      <w:rPr>
        <w:rFonts w:cs="Times New Roman" w:hint="default"/>
        <w:color w:val="333333"/>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420C7D13"/>
    <w:multiLevelType w:val="hybridMultilevel"/>
    <w:tmpl w:val="30D6CFE6"/>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3">
    <w:nsid w:val="422B3503"/>
    <w:multiLevelType w:val="hybridMultilevel"/>
    <w:tmpl w:val="2D50E252"/>
    <w:lvl w:ilvl="0" w:tplc="D8B059DE">
      <w:start w:val="4"/>
      <w:numFmt w:val="bullet"/>
      <w:lvlText w:val="-"/>
      <w:lvlJc w:val="left"/>
      <w:pPr>
        <w:ind w:left="720" w:hanging="360"/>
      </w:pPr>
      <w:rPr>
        <w:rFonts w:ascii="Times New Roman" w:eastAsiaTheme="minorHAnsi"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42AC01BE"/>
    <w:multiLevelType w:val="hybridMultilevel"/>
    <w:tmpl w:val="8D9C246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4782120C"/>
    <w:multiLevelType w:val="hybridMultilevel"/>
    <w:tmpl w:val="143810B4"/>
    <w:lvl w:ilvl="0" w:tplc="8EE2F4C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49FA3E92"/>
    <w:multiLevelType w:val="hybridMultilevel"/>
    <w:tmpl w:val="4AE80672"/>
    <w:lvl w:ilvl="0" w:tplc="54B2C27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7">
    <w:nsid w:val="4C9D5C59"/>
    <w:multiLevelType w:val="multilevel"/>
    <w:tmpl w:val="33EEBC0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4D253FB9"/>
    <w:multiLevelType w:val="hybridMultilevel"/>
    <w:tmpl w:val="A15A9B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53E07EC2"/>
    <w:multiLevelType w:val="hybridMultilevel"/>
    <w:tmpl w:val="D59691B4"/>
    <w:lvl w:ilvl="0" w:tplc="70C24F8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541F7698"/>
    <w:multiLevelType w:val="hybridMultilevel"/>
    <w:tmpl w:val="89D09016"/>
    <w:lvl w:ilvl="0" w:tplc="0C0A000F">
      <w:start w:val="8"/>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55A01A8A"/>
    <w:multiLevelType w:val="hybridMultilevel"/>
    <w:tmpl w:val="34DE8CC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566A6829"/>
    <w:multiLevelType w:val="multilevel"/>
    <w:tmpl w:val="995CFC88"/>
    <w:lvl w:ilvl="0">
      <w:start w:val="9"/>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3">
    <w:nsid w:val="566B0D26"/>
    <w:multiLevelType w:val="hybridMultilevel"/>
    <w:tmpl w:val="08DA037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5926627F"/>
    <w:multiLevelType w:val="hybridMultilevel"/>
    <w:tmpl w:val="B94A02A4"/>
    <w:lvl w:ilvl="0" w:tplc="70C24F8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5A345003"/>
    <w:multiLevelType w:val="hybridMultilevel"/>
    <w:tmpl w:val="74D821A4"/>
    <w:lvl w:ilvl="0" w:tplc="932468E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6">
    <w:nsid w:val="5D025D4F"/>
    <w:multiLevelType w:val="hybridMultilevel"/>
    <w:tmpl w:val="E51E464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7">
    <w:nsid w:val="63E63BBE"/>
    <w:multiLevelType w:val="hybridMultilevel"/>
    <w:tmpl w:val="6EB44D62"/>
    <w:lvl w:ilvl="0" w:tplc="605C218C">
      <w:start w:val="1"/>
      <w:numFmt w:val="decimal"/>
      <w:lvlText w:val="%1."/>
      <w:lvlJc w:val="left"/>
      <w:pPr>
        <w:ind w:left="1080" w:hanging="360"/>
      </w:pPr>
      <w:rPr>
        <w:rFonts w:cs="Times New Roman" w:hint="default"/>
        <w:color w:val="333333"/>
      </w:rPr>
    </w:lvl>
    <w:lvl w:ilvl="1" w:tplc="0C0A0019">
      <w:start w:val="1"/>
      <w:numFmt w:val="lowerLetter"/>
      <w:lvlText w:val="%2."/>
      <w:lvlJc w:val="left"/>
      <w:pPr>
        <w:ind w:left="1800" w:hanging="360"/>
      </w:pPr>
    </w:lvl>
    <w:lvl w:ilvl="2" w:tplc="0C0A001B">
      <w:start w:val="1"/>
      <w:numFmt w:val="lowerRoman"/>
      <w:lvlText w:val="%3."/>
      <w:lvlJc w:val="right"/>
      <w:pPr>
        <w:ind w:left="2520" w:hanging="180"/>
      </w:pPr>
    </w:lvl>
    <w:lvl w:ilvl="3" w:tplc="0C0A000F">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8">
    <w:nsid w:val="6B921171"/>
    <w:multiLevelType w:val="hybridMultilevel"/>
    <w:tmpl w:val="80EAFC4C"/>
    <w:lvl w:ilvl="0" w:tplc="D8B059DE">
      <w:start w:val="4"/>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6BEE58A1"/>
    <w:multiLevelType w:val="hybridMultilevel"/>
    <w:tmpl w:val="C35C579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nsid w:val="6DFC18CE"/>
    <w:multiLevelType w:val="hybridMultilevel"/>
    <w:tmpl w:val="A882101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7A02722B"/>
    <w:multiLevelType w:val="hybridMultilevel"/>
    <w:tmpl w:val="52D668B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E04240B"/>
    <w:multiLevelType w:val="hybridMultilevel"/>
    <w:tmpl w:val="DBCC9B30"/>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7"/>
  </w:num>
  <w:num w:numId="2">
    <w:abstractNumId w:val="23"/>
  </w:num>
  <w:num w:numId="3">
    <w:abstractNumId w:val="38"/>
  </w:num>
  <w:num w:numId="4">
    <w:abstractNumId w:val="36"/>
  </w:num>
  <w:num w:numId="5">
    <w:abstractNumId w:val="28"/>
  </w:num>
  <w:num w:numId="6">
    <w:abstractNumId w:val="13"/>
  </w:num>
  <w:num w:numId="7">
    <w:abstractNumId w:val="20"/>
  </w:num>
  <w:num w:numId="8">
    <w:abstractNumId w:val="9"/>
  </w:num>
  <w:num w:numId="9">
    <w:abstractNumId w:val="12"/>
  </w:num>
  <w:num w:numId="10">
    <w:abstractNumId w:val="29"/>
  </w:num>
  <w:num w:numId="11">
    <w:abstractNumId w:val="26"/>
  </w:num>
  <w:num w:numId="12">
    <w:abstractNumId w:val="18"/>
  </w:num>
  <w:num w:numId="13">
    <w:abstractNumId w:val="25"/>
  </w:num>
  <w:num w:numId="14">
    <w:abstractNumId w:val="22"/>
  </w:num>
  <w:num w:numId="15">
    <w:abstractNumId w:val="15"/>
  </w:num>
  <w:num w:numId="16">
    <w:abstractNumId w:val="34"/>
  </w:num>
  <w:num w:numId="17">
    <w:abstractNumId w:val="10"/>
  </w:num>
  <w:num w:numId="18">
    <w:abstractNumId w:val="39"/>
  </w:num>
  <w:num w:numId="19">
    <w:abstractNumId w:val="24"/>
  </w:num>
  <w:num w:numId="20">
    <w:abstractNumId w:val="31"/>
  </w:num>
  <w:num w:numId="21">
    <w:abstractNumId w:val="4"/>
  </w:num>
  <w:num w:numId="22">
    <w:abstractNumId w:val="11"/>
  </w:num>
  <w:num w:numId="23">
    <w:abstractNumId w:val="19"/>
  </w:num>
  <w:num w:numId="24">
    <w:abstractNumId w:val="16"/>
  </w:num>
  <w:num w:numId="25">
    <w:abstractNumId w:val="3"/>
  </w:num>
  <w:num w:numId="26">
    <w:abstractNumId w:val="2"/>
  </w:num>
  <w:num w:numId="27">
    <w:abstractNumId w:val="5"/>
  </w:num>
  <w:num w:numId="28">
    <w:abstractNumId w:val="40"/>
  </w:num>
  <w:num w:numId="29">
    <w:abstractNumId w:val="17"/>
  </w:num>
  <w:num w:numId="30">
    <w:abstractNumId w:val="42"/>
  </w:num>
  <w:num w:numId="31">
    <w:abstractNumId w:val="41"/>
  </w:num>
  <w:num w:numId="32">
    <w:abstractNumId w:val="8"/>
  </w:num>
  <w:num w:numId="33">
    <w:abstractNumId w:val="30"/>
  </w:num>
  <w:num w:numId="34">
    <w:abstractNumId w:val="35"/>
  </w:num>
  <w:num w:numId="35">
    <w:abstractNumId w:val="14"/>
  </w:num>
  <w:num w:numId="36">
    <w:abstractNumId w:val="37"/>
  </w:num>
  <w:num w:numId="37">
    <w:abstractNumId w:val="21"/>
  </w:num>
  <w:num w:numId="38">
    <w:abstractNumId w:val="33"/>
  </w:num>
  <w:num w:numId="39">
    <w:abstractNumId w:val="6"/>
  </w:num>
  <w:num w:numId="40">
    <w:abstractNumId w:val="1"/>
  </w:num>
  <w:num w:numId="41">
    <w:abstractNumId w:val="32"/>
  </w:num>
  <w:num w:numId="42">
    <w:abstractNumId w:val="27"/>
  </w:num>
  <w:num w:numId="4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D65F5F"/>
    <w:rsid w:val="000D49D7"/>
    <w:rsid w:val="001863B9"/>
    <w:rsid w:val="001872FE"/>
    <w:rsid w:val="00190CF8"/>
    <w:rsid w:val="001A35F7"/>
    <w:rsid w:val="001B137D"/>
    <w:rsid w:val="001B41B7"/>
    <w:rsid w:val="001F3FB8"/>
    <w:rsid w:val="0021146A"/>
    <w:rsid w:val="002408D8"/>
    <w:rsid w:val="00265D26"/>
    <w:rsid w:val="002A5D66"/>
    <w:rsid w:val="002D088E"/>
    <w:rsid w:val="002E58B7"/>
    <w:rsid w:val="002F1AF6"/>
    <w:rsid w:val="00324CE7"/>
    <w:rsid w:val="00365282"/>
    <w:rsid w:val="003829C9"/>
    <w:rsid w:val="00387D7D"/>
    <w:rsid w:val="00406E88"/>
    <w:rsid w:val="00407991"/>
    <w:rsid w:val="00481833"/>
    <w:rsid w:val="0049090D"/>
    <w:rsid w:val="004E1217"/>
    <w:rsid w:val="005733BA"/>
    <w:rsid w:val="0059199A"/>
    <w:rsid w:val="005D227A"/>
    <w:rsid w:val="005E4266"/>
    <w:rsid w:val="006710BA"/>
    <w:rsid w:val="00680206"/>
    <w:rsid w:val="00686506"/>
    <w:rsid w:val="006A4531"/>
    <w:rsid w:val="00707CC8"/>
    <w:rsid w:val="00731F8A"/>
    <w:rsid w:val="00761FA4"/>
    <w:rsid w:val="00763416"/>
    <w:rsid w:val="007933BC"/>
    <w:rsid w:val="0083248C"/>
    <w:rsid w:val="00835195"/>
    <w:rsid w:val="00894CED"/>
    <w:rsid w:val="00950800"/>
    <w:rsid w:val="00951D7A"/>
    <w:rsid w:val="009729D8"/>
    <w:rsid w:val="00973A77"/>
    <w:rsid w:val="009F539F"/>
    <w:rsid w:val="00A04FEE"/>
    <w:rsid w:val="00A42A54"/>
    <w:rsid w:val="00A83189"/>
    <w:rsid w:val="00A86545"/>
    <w:rsid w:val="00AA1063"/>
    <w:rsid w:val="00AA4DA7"/>
    <w:rsid w:val="00AD3C30"/>
    <w:rsid w:val="00B22874"/>
    <w:rsid w:val="00B61EBD"/>
    <w:rsid w:val="00B740B9"/>
    <w:rsid w:val="00C0797D"/>
    <w:rsid w:val="00C90309"/>
    <w:rsid w:val="00CB08AA"/>
    <w:rsid w:val="00CB493F"/>
    <w:rsid w:val="00CD5B2E"/>
    <w:rsid w:val="00D65F5F"/>
    <w:rsid w:val="00D774FC"/>
    <w:rsid w:val="00D80DBB"/>
    <w:rsid w:val="00DB5489"/>
    <w:rsid w:val="00DC1FF0"/>
    <w:rsid w:val="00DF6FC2"/>
    <w:rsid w:val="00DF7BBD"/>
    <w:rsid w:val="00E17C3E"/>
    <w:rsid w:val="00E25B7D"/>
    <w:rsid w:val="00E44065"/>
    <w:rsid w:val="00E614BA"/>
    <w:rsid w:val="00E6621F"/>
    <w:rsid w:val="00EA1A44"/>
    <w:rsid w:val="00EC61A0"/>
    <w:rsid w:val="00F20471"/>
    <w:rsid w:val="00F21A31"/>
    <w:rsid w:val="00F415CE"/>
    <w:rsid w:val="00F743EF"/>
    <w:rsid w:val="00FA571A"/>
    <w:rsid w:val="00FC1DA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F5F"/>
    <w:pPr>
      <w:jc w:val="both"/>
    </w:pPr>
    <w:rPr>
      <w:rFonts w:ascii="Times New Roman" w:hAnsi="Times New Roman"/>
    </w:rPr>
  </w:style>
  <w:style w:type="paragraph" w:styleId="Ttulo1">
    <w:name w:val="heading 1"/>
    <w:basedOn w:val="Normal"/>
    <w:next w:val="Normal"/>
    <w:link w:val="Ttulo1Car"/>
    <w:uiPriority w:val="9"/>
    <w:qFormat/>
    <w:rsid w:val="00D65F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65F5F"/>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D65F5F"/>
    <w:pPr>
      <w:ind w:left="720"/>
      <w:contextualSpacing/>
    </w:pPr>
  </w:style>
  <w:style w:type="paragraph" w:styleId="Sinespaciado">
    <w:name w:val="No Spacing"/>
    <w:uiPriority w:val="1"/>
    <w:qFormat/>
    <w:rsid w:val="00265D26"/>
    <w:pPr>
      <w:spacing w:after="0" w:line="240" w:lineRule="auto"/>
      <w:jc w:val="both"/>
    </w:pPr>
    <w:rPr>
      <w:rFonts w:ascii="Times New Roman" w:hAnsi="Times New Roman"/>
    </w:rPr>
  </w:style>
  <w:style w:type="paragraph" w:styleId="Ttulo">
    <w:name w:val="Title"/>
    <w:basedOn w:val="Normal"/>
    <w:next w:val="Normal"/>
    <w:link w:val="TtuloCar"/>
    <w:uiPriority w:val="10"/>
    <w:qFormat/>
    <w:rsid w:val="002D088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D088E"/>
    <w:rPr>
      <w:rFonts w:asciiTheme="majorHAnsi" w:eastAsiaTheme="majorEastAsia" w:hAnsiTheme="majorHAnsi" w:cstheme="majorBidi"/>
      <w:spacing w:val="-10"/>
      <w:kern w:val="28"/>
      <w:sz w:val="56"/>
      <w:szCs w:val="56"/>
    </w:rPr>
  </w:style>
  <w:style w:type="paragraph" w:styleId="Encabezado">
    <w:name w:val="header"/>
    <w:basedOn w:val="Normal"/>
    <w:link w:val="EncabezadoCar"/>
    <w:uiPriority w:val="99"/>
    <w:unhideWhenUsed/>
    <w:rsid w:val="001B137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B137D"/>
    <w:rPr>
      <w:rFonts w:ascii="Times New Roman" w:hAnsi="Times New Roman"/>
    </w:rPr>
  </w:style>
  <w:style w:type="paragraph" w:styleId="Piedepgina">
    <w:name w:val="footer"/>
    <w:basedOn w:val="Normal"/>
    <w:link w:val="PiedepginaCar"/>
    <w:uiPriority w:val="99"/>
    <w:unhideWhenUsed/>
    <w:rsid w:val="001B137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B137D"/>
    <w:rPr>
      <w:rFonts w:ascii="Times New Roman" w:hAnsi="Times New Roman"/>
    </w:rPr>
  </w:style>
  <w:style w:type="paragraph" w:customStyle="1" w:styleId="parrafo">
    <w:name w:val="parrafo"/>
    <w:basedOn w:val="Normal"/>
    <w:rsid w:val="006A4531"/>
    <w:pPr>
      <w:spacing w:before="100" w:beforeAutospacing="1" w:after="100" w:afterAutospacing="1" w:line="240" w:lineRule="auto"/>
      <w:jc w:val="left"/>
    </w:pPr>
    <w:rPr>
      <w:rFonts w:eastAsia="Times New Roman" w:cs="Times New Roman"/>
      <w:sz w:val="24"/>
      <w:szCs w:val="24"/>
      <w:lang w:eastAsia="es-ES"/>
    </w:rPr>
  </w:style>
  <w:style w:type="paragraph" w:customStyle="1" w:styleId="parrafo2">
    <w:name w:val="parrafo_2"/>
    <w:basedOn w:val="Normal"/>
    <w:rsid w:val="003829C9"/>
    <w:pPr>
      <w:spacing w:before="100" w:beforeAutospacing="1" w:after="100" w:afterAutospacing="1" w:line="240" w:lineRule="auto"/>
      <w:jc w:val="left"/>
    </w:pPr>
    <w:rPr>
      <w:rFonts w:eastAsia="Times New Roman" w:cs="Times New Roman"/>
      <w:sz w:val="24"/>
      <w:szCs w:val="24"/>
      <w:lang w:eastAsia="es-ES"/>
    </w:rPr>
  </w:style>
  <w:style w:type="character" w:styleId="Textoennegrita">
    <w:name w:val="Strong"/>
    <w:basedOn w:val="Fuentedeprrafopredeter"/>
    <w:uiPriority w:val="22"/>
    <w:qFormat/>
    <w:rsid w:val="003829C9"/>
    <w:rPr>
      <w:b/>
      <w:bCs/>
    </w:rPr>
  </w:style>
</w:styles>
</file>

<file path=word/webSettings.xml><?xml version="1.0" encoding="utf-8"?>
<w:webSettings xmlns:r="http://schemas.openxmlformats.org/officeDocument/2006/relationships" xmlns:w="http://schemas.openxmlformats.org/wordprocessingml/2006/main">
  <w:divs>
    <w:div w:id="25448387">
      <w:bodyDiv w:val="1"/>
      <w:marLeft w:val="0"/>
      <w:marRight w:val="0"/>
      <w:marTop w:val="0"/>
      <w:marBottom w:val="0"/>
      <w:divBdr>
        <w:top w:val="none" w:sz="0" w:space="0" w:color="auto"/>
        <w:left w:val="none" w:sz="0" w:space="0" w:color="auto"/>
        <w:bottom w:val="none" w:sz="0" w:space="0" w:color="auto"/>
        <w:right w:val="none" w:sz="0" w:space="0" w:color="auto"/>
      </w:divBdr>
      <w:divsChild>
        <w:div w:id="1239438530">
          <w:marLeft w:val="0"/>
          <w:marRight w:val="0"/>
          <w:marTop w:val="0"/>
          <w:marBottom w:val="0"/>
          <w:divBdr>
            <w:top w:val="none" w:sz="0" w:space="0" w:color="auto"/>
            <w:left w:val="none" w:sz="0" w:space="0" w:color="auto"/>
            <w:bottom w:val="none" w:sz="0" w:space="0" w:color="auto"/>
            <w:right w:val="none" w:sz="0" w:space="0" w:color="auto"/>
          </w:divBdr>
        </w:div>
        <w:div w:id="614366144">
          <w:marLeft w:val="0"/>
          <w:marRight w:val="0"/>
          <w:marTop w:val="0"/>
          <w:marBottom w:val="0"/>
          <w:divBdr>
            <w:top w:val="none" w:sz="0" w:space="0" w:color="auto"/>
            <w:left w:val="none" w:sz="0" w:space="0" w:color="auto"/>
            <w:bottom w:val="none" w:sz="0" w:space="0" w:color="auto"/>
            <w:right w:val="none" w:sz="0" w:space="0" w:color="auto"/>
          </w:divBdr>
        </w:div>
        <w:div w:id="583102198">
          <w:marLeft w:val="0"/>
          <w:marRight w:val="0"/>
          <w:marTop w:val="0"/>
          <w:marBottom w:val="0"/>
          <w:divBdr>
            <w:top w:val="none" w:sz="0" w:space="0" w:color="auto"/>
            <w:left w:val="none" w:sz="0" w:space="0" w:color="auto"/>
            <w:bottom w:val="none" w:sz="0" w:space="0" w:color="auto"/>
            <w:right w:val="none" w:sz="0" w:space="0" w:color="auto"/>
          </w:divBdr>
        </w:div>
        <w:div w:id="1909344722">
          <w:marLeft w:val="0"/>
          <w:marRight w:val="0"/>
          <w:marTop w:val="0"/>
          <w:marBottom w:val="0"/>
          <w:divBdr>
            <w:top w:val="none" w:sz="0" w:space="0" w:color="auto"/>
            <w:left w:val="none" w:sz="0" w:space="0" w:color="auto"/>
            <w:bottom w:val="none" w:sz="0" w:space="0" w:color="auto"/>
            <w:right w:val="none" w:sz="0" w:space="0" w:color="auto"/>
          </w:divBdr>
        </w:div>
        <w:div w:id="594367767">
          <w:marLeft w:val="0"/>
          <w:marRight w:val="0"/>
          <w:marTop w:val="0"/>
          <w:marBottom w:val="0"/>
          <w:divBdr>
            <w:top w:val="none" w:sz="0" w:space="0" w:color="auto"/>
            <w:left w:val="none" w:sz="0" w:space="0" w:color="auto"/>
            <w:bottom w:val="none" w:sz="0" w:space="0" w:color="auto"/>
            <w:right w:val="none" w:sz="0" w:space="0" w:color="auto"/>
          </w:divBdr>
        </w:div>
        <w:div w:id="1655144281">
          <w:marLeft w:val="0"/>
          <w:marRight w:val="0"/>
          <w:marTop w:val="0"/>
          <w:marBottom w:val="0"/>
          <w:divBdr>
            <w:top w:val="none" w:sz="0" w:space="0" w:color="auto"/>
            <w:left w:val="none" w:sz="0" w:space="0" w:color="auto"/>
            <w:bottom w:val="none" w:sz="0" w:space="0" w:color="auto"/>
            <w:right w:val="none" w:sz="0" w:space="0" w:color="auto"/>
          </w:divBdr>
        </w:div>
        <w:div w:id="560794162">
          <w:marLeft w:val="0"/>
          <w:marRight w:val="0"/>
          <w:marTop w:val="0"/>
          <w:marBottom w:val="0"/>
          <w:divBdr>
            <w:top w:val="none" w:sz="0" w:space="0" w:color="auto"/>
            <w:left w:val="none" w:sz="0" w:space="0" w:color="auto"/>
            <w:bottom w:val="none" w:sz="0" w:space="0" w:color="auto"/>
            <w:right w:val="none" w:sz="0" w:space="0" w:color="auto"/>
          </w:divBdr>
        </w:div>
        <w:div w:id="498233850">
          <w:marLeft w:val="0"/>
          <w:marRight w:val="0"/>
          <w:marTop w:val="0"/>
          <w:marBottom w:val="0"/>
          <w:divBdr>
            <w:top w:val="none" w:sz="0" w:space="0" w:color="auto"/>
            <w:left w:val="none" w:sz="0" w:space="0" w:color="auto"/>
            <w:bottom w:val="none" w:sz="0" w:space="0" w:color="auto"/>
            <w:right w:val="none" w:sz="0" w:space="0" w:color="auto"/>
          </w:divBdr>
        </w:div>
        <w:div w:id="896283027">
          <w:marLeft w:val="0"/>
          <w:marRight w:val="0"/>
          <w:marTop w:val="0"/>
          <w:marBottom w:val="0"/>
          <w:divBdr>
            <w:top w:val="none" w:sz="0" w:space="0" w:color="auto"/>
            <w:left w:val="none" w:sz="0" w:space="0" w:color="auto"/>
            <w:bottom w:val="none" w:sz="0" w:space="0" w:color="auto"/>
            <w:right w:val="none" w:sz="0" w:space="0" w:color="auto"/>
          </w:divBdr>
        </w:div>
        <w:div w:id="1608731899">
          <w:marLeft w:val="0"/>
          <w:marRight w:val="0"/>
          <w:marTop w:val="0"/>
          <w:marBottom w:val="0"/>
          <w:divBdr>
            <w:top w:val="none" w:sz="0" w:space="0" w:color="auto"/>
            <w:left w:val="none" w:sz="0" w:space="0" w:color="auto"/>
            <w:bottom w:val="none" w:sz="0" w:space="0" w:color="auto"/>
            <w:right w:val="none" w:sz="0" w:space="0" w:color="auto"/>
          </w:divBdr>
        </w:div>
        <w:div w:id="1682585995">
          <w:marLeft w:val="0"/>
          <w:marRight w:val="0"/>
          <w:marTop w:val="0"/>
          <w:marBottom w:val="0"/>
          <w:divBdr>
            <w:top w:val="none" w:sz="0" w:space="0" w:color="auto"/>
            <w:left w:val="none" w:sz="0" w:space="0" w:color="auto"/>
            <w:bottom w:val="none" w:sz="0" w:space="0" w:color="auto"/>
            <w:right w:val="none" w:sz="0" w:space="0" w:color="auto"/>
          </w:divBdr>
        </w:div>
        <w:div w:id="500658639">
          <w:marLeft w:val="0"/>
          <w:marRight w:val="0"/>
          <w:marTop w:val="0"/>
          <w:marBottom w:val="0"/>
          <w:divBdr>
            <w:top w:val="none" w:sz="0" w:space="0" w:color="auto"/>
            <w:left w:val="none" w:sz="0" w:space="0" w:color="auto"/>
            <w:bottom w:val="none" w:sz="0" w:space="0" w:color="auto"/>
            <w:right w:val="none" w:sz="0" w:space="0" w:color="auto"/>
          </w:divBdr>
        </w:div>
        <w:div w:id="950671667">
          <w:marLeft w:val="0"/>
          <w:marRight w:val="0"/>
          <w:marTop w:val="0"/>
          <w:marBottom w:val="0"/>
          <w:divBdr>
            <w:top w:val="none" w:sz="0" w:space="0" w:color="auto"/>
            <w:left w:val="none" w:sz="0" w:space="0" w:color="auto"/>
            <w:bottom w:val="none" w:sz="0" w:space="0" w:color="auto"/>
            <w:right w:val="none" w:sz="0" w:space="0" w:color="auto"/>
          </w:divBdr>
        </w:div>
        <w:div w:id="1504125886">
          <w:marLeft w:val="0"/>
          <w:marRight w:val="0"/>
          <w:marTop w:val="0"/>
          <w:marBottom w:val="0"/>
          <w:divBdr>
            <w:top w:val="none" w:sz="0" w:space="0" w:color="auto"/>
            <w:left w:val="none" w:sz="0" w:space="0" w:color="auto"/>
            <w:bottom w:val="none" w:sz="0" w:space="0" w:color="auto"/>
            <w:right w:val="none" w:sz="0" w:space="0" w:color="auto"/>
          </w:divBdr>
        </w:div>
        <w:div w:id="1352341227">
          <w:marLeft w:val="0"/>
          <w:marRight w:val="0"/>
          <w:marTop w:val="0"/>
          <w:marBottom w:val="0"/>
          <w:divBdr>
            <w:top w:val="none" w:sz="0" w:space="0" w:color="auto"/>
            <w:left w:val="none" w:sz="0" w:space="0" w:color="auto"/>
            <w:bottom w:val="none" w:sz="0" w:space="0" w:color="auto"/>
            <w:right w:val="none" w:sz="0" w:space="0" w:color="auto"/>
          </w:divBdr>
        </w:div>
        <w:div w:id="1187596400">
          <w:marLeft w:val="0"/>
          <w:marRight w:val="0"/>
          <w:marTop w:val="0"/>
          <w:marBottom w:val="0"/>
          <w:divBdr>
            <w:top w:val="none" w:sz="0" w:space="0" w:color="auto"/>
            <w:left w:val="none" w:sz="0" w:space="0" w:color="auto"/>
            <w:bottom w:val="none" w:sz="0" w:space="0" w:color="auto"/>
            <w:right w:val="none" w:sz="0" w:space="0" w:color="auto"/>
          </w:divBdr>
        </w:div>
        <w:div w:id="397750707">
          <w:marLeft w:val="0"/>
          <w:marRight w:val="0"/>
          <w:marTop w:val="0"/>
          <w:marBottom w:val="0"/>
          <w:divBdr>
            <w:top w:val="none" w:sz="0" w:space="0" w:color="auto"/>
            <w:left w:val="none" w:sz="0" w:space="0" w:color="auto"/>
            <w:bottom w:val="none" w:sz="0" w:space="0" w:color="auto"/>
            <w:right w:val="none" w:sz="0" w:space="0" w:color="auto"/>
          </w:divBdr>
        </w:div>
        <w:div w:id="851646207">
          <w:marLeft w:val="0"/>
          <w:marRight w:val="0"/>
          <w:marTop w:val="0"/>
          <w:marBottom w:val="0"/>
          <w:divBdr>
            <w:top w:val="none" w:sz="0" w:space="0" w:color="auto"/>
            <w:left w:val="none" w:sz="0" w:space="0" w:color="auto"/>
            <w:bottom w:val="none" w:sz="0" w:space="0" w:color="auto"/>
            <w:right w:val="none" w:sz="0" w:space="0" w:color="auto"/>
          </w:divBdr>
        </w:div>
        <w:div w:id="1177573857">
          <w:marLeft w:val="0"/>
          <w:marRight w:val="0"/>
          <w:marTop w:val="0"/>
          <w:marBottom w:val="0"/>
          <w:divBdr>
            <w:top w:val="none" w:sz="0" w:space="0" w:color="auto"/>
            <w:left w:val="none" w:sz="0" w:space="0" w:color="auto"/>
            <w:bottom w:val="none" w:sz="0" w:space="0" w:color="auto"/>
            <w:right w:val="none" w:sz="0" w:space="0" w:color="auto"/>
          </w:divBdr>
        </w:div>
        <w:div w:id="793789707">
          <w:marLeft w:val="0"/>
          <w:marRight w:val="0"/>
          <w:marTop w:val="0"/>
          <w:marBottom w:val="0"/>
          <w:divBdr>
            <w:top w:val="none" w:sz="0" w:space="0" w:color="auto"/>
            <w:left w:val="none" w:sz="0" w:space="0" w:color="auto"/>
            <w:bottom w:val="none" w:sz="0" w:space="0" w:color="auto"/>
            <w:right w:val="none" w:sz="0" w:space="0" w:color="auto"/>
          </w:divBdr>
        </w:div>
        <w:div w:id="1572306388">
          <w:marLeft w:val="0"/>
          <w:marRight w:val="0"/>
          <w:marTop w:val="0"/>
          <w:marBottom w:val="0"/>
          <w:divBdr>
            <w:top w:val="none" w:sz="0" w:space="0" w:color="auto"/>
            <w:left w:val="none" w:sz="0" w:space="0" w:color="auto"/>
            <w:bottom w:val="none" w:sz="0" w:space="0" w:color="auto"/>
            <w:right w:val="none" w:sz="0" w:space="0" w:color="auto"/>
          </w:divBdr>
        </w:div>
        <w:div w:id="1806196059">
          <w:marLeft w:val="0"/>
          <w:marRight w:val="0"/>
          <w:marTop w:val="0"/>
          <w:marBottom w:val="0"/>
          <w:divBdr>
            <w:top w:val="none" w:sz="0" w:space="0" w:color="auto"/>
            <w:left w:val="none" w:sz="0" w:space="0" w:color="auto"/>
            <w:bottom w:val="none" w:sz="0" w:space="0" w:color="auto"/>
            <w:right w:val="none" w:sz="0" w:space="0" w:color="auto"/>
          </w:divBdr>
        </w:div>
        <w:div w:id="188840964">
          <w:marLeft w:val="0"/>
          <w:marRight w:val="0"/>
          <w:marTop w:val="0"/>
          <w:marBottom w:val="0"/>
          <w:divBdr>
            <w:top w:val="none" w:sz="0" w:space="0" w:color="auto"/>
            <w:left w:val="none" w:sz="0" w:space="0" w:color="auto"/>
            <w:bottom w:val="none" w:sz="0" w:space="0" w:color="auto"/>
            <w:right w:val="none" w:sz="0" w:space="0" w:color="auto"/>
          </w:divBdr>
        </w:div>
        <w:div w:id="1530291483">
          <w:marLeft w:val="0"/>
          <w:marRight w:val="0"/>
          <w:marTop w:val="0"/>
          <w:marBottom w:val="0"/>
          <w:divBdr>
            <w:top w:val="none" w:sz="0" w:space="0" w:color="auto"/>
            <w:left w:val="none" w:sz="0" w:space="0" w:color="auto"/>
            <w:bottom w:val="none" w:sz="0" w:space="0" w:color="auto"/>
            <w:right w:val="none" w:sz="0" w:space="0" w:color="auto"/>
          </w:divBdr>
        </w:div>
        <w:div w:id="1563328059">
          <w:marLeft w:val="0"/>
          <w:marRight w:val="0"/>
          <w:marTop w:val="0"/>
          <w:marBottom w:val="0"/>
          <w:divBdr>
            <w:top w:val="none" w:sz="0" w:space="0" w:color="auto"/>
            <w:left w:val="none" w:sz="0" w:space="0" w:color="auto"/>
            <w:bottom w:val="none" w:sz="0" w:space="0" w:color="auto"/>
            <w:right w:val="none" w:sz="0" w:space="0" w:color="auto"/>
          </w:divBdr>
        </w:div>
        <w:div w:id="1125656081">
          <w:marLeft w:val="0"/>
          <w:marRight w:val="0"/>
          <w:marTop w:val="0"/>
          <w:marBottom w:val="0"/>
          <w:divBdr>
            <w:top w:val="none" w:sz="0" w:space="0" w:color="auto"/>
            <w:left w:val="none" w:sz="0" w:space="0" w:color="auto"/>
            <w:bottom w:val="none" w:sz="0" w:space="0" w:color="auto"/>
            <w:right w:val="none" w:sz="0" w:space="0" w:color="auto"/>
          </w:divBdr>
        </w:div>
        <w:div w:id="2099906781">
          <w:marLeft w:val="0"/>
          <w:marRight w:val="0"/>
          <w:marTop w:val="0"/>
          <w:marBottom w:val="0"/>
          <w:divBdr>
            <w:top w:val="none" w:sz="0" w:space="0" w:color="auto"/>
            <w:left w:val="none" w:sz="0" w:space="0" w:color="auto"/>
            <w:bottom w:val="none" w:sz="0" w:space="0" w:color="auto"/>
            <w:right w:val="none" w:sz="0" w:space="0" w:color="auto"/>
          </w:divBdr>
        </w:div>
        <w:div w:id="511578096">
          <w:marLeft w:val="0"/>
          <w:marRight w:val="0"/>
          <w:marTop w:val="0"/>
          <w:marBottom w:val="0"/>
          <w:divBdr>
            <w:top w:val="none" w:sz="0" w:space="0" w:color="auto"/>
            <w:left w:val="none" w:sz="0" w:space="0" w:color="auto"/>
            <w:bottom w:val="none" w:sz="0" w:space="0" w:color="auto"/>
            <w:right w:val="none" w:sz="0" w:space="0" w:color="auto"/>
          </w:divBdr>
        </w:div>
        <w:div w:id="2143769107">
          <w:marLeft w:val="0"/>
          <w:marRight w:val="0"/>
          <w:marTop w:val="0"/>
          <w:marBottom w:val="0"/>
          <w:divBdr>
            <w:top w:val="none" w:sz="0" w:space="0" w:color="auto"/>
            <w:left w:val="none" w:sz="0" w:space="0" w:color="auto"/>
            <w:bottom w:val="none" w:sz="0" w:space="0" w:color="auto"/>
            <w:right w:val="none" w:sz="0" w:space="0" w:color="auto"/>
          </w:divBdr>
        </w:div>
        <w:div w:id="1101803111">
          <w:marLeft w:val="0"/>
          <w:marRight w:val="0"/>
          <w:marTop w:val="0"/>
          <w:marBottom w:val="0"/>
          <w:divBdr>
            <w:top w:val="none" w:sz="0" w:space="0" w:color="auto"/>
            <w:left w:val="none" w:sz="0" w:space="0" w:color="auto"/>
            <w:bottom w:val="none" w:sz="0" w:space="0" w:color="auto"/>
            <w:right w:val="none" w:sz="0" w:space="0" w:color="auto"/>
          </w:divBdr>
        </w:div>
        <w:div w:id="1282153012">
          <w:marLeft w:val="0"/>
          <w:marRight w:val="0"/>
          <w:marTop w:val="0"/>
          <w:marBottom w:val="0"/>
          <w:divBdr>
            <w:top w:val="none" w:sz="0" w:space="0" w:color="auto"/>
            <w:left w:val="none" w:sz="0" w:space="0" w:color="auto"/>
            <w:bottom w:val="none" w:sz="0" w:space="0" w:color="auto"/>
            <w:right w:val="none" w:sz="0" w:space="0" w:color="auto"/>
          </w:divBdr>
        </w:div>
        <w:div w:id="1141650807">
          <w:marLeft w:val="0"/>
          <w:marRight w:val="0"/>
          <w:marTop w:val="0"/>
          <w:marBottom w:val="0"/>
          <w:divBdr>
            <w:top w:val="none" w:sz="0" w:space="0" w:color="auto"/>
            <w:left w:val="none" w:sz="0" w:space="0" w:color="auto"/>
            <w:bottom w:val="none" w:sz="0" w:space="0" w:color="auto"/>
            <w:right w:val="none" w:sz="0" w:space="0" w:color="auto"/>
          </w:divBdr>
        </w:div>
        <w:div w:id="463080050">
          <w:marLeft w:val="0"/>
          <w:marRight w:val="0"/>
          <w:marTop w:val="0"/>
          <w:marBottom w:val="0"/>
          <w:divBdr>
            <w:top w:val="none" w:sz="0" w:space="0" w:color="auto"/>
            <w:left w:val="none" w:sz="0" w:space="0" w:color="auto"/>
            <w:bottom w:val="none" w:sz="0" w:space="0" w:color="auto"/>
            <w:right w:val="none" w:sz="0" w:space="0" w:color="auto"/>
          </w:divBdr>
        </w:div>
        <w:div w:id="1111129743">
          <w:marLeft w:val="0"/>
          <w:marRight w:val="0"/>
          <w:marTop w:val="0"/>
          <w:marBottom w:val="0"/>
          <w:divBdr>
            <w:top w:val="none" w:sz="0" w:space="0" w:color="auto"/>
            <w:left w:val="none" w:sz="0" w:space="0" w:color="auto"/>
            <w:bottom w:val="none" w:sz="0" w:space="0" w:color="auto"/>
            <w:right w:val="none" w:sz="0" w:space="0" w:color="auto"/>
          </w:divBdr>
        </w:div>
        <w:div w:id="1348675376">
          <w:marLeft w:val="0"/>
          <w:marRight w:val="0"/>
          <w:marTop w:val="0"/>
          <w:marBottom w:val="0"/>
          <w:divBdr>
            <w:top w:val="none" w:sz="0" w:space="0" w:color="auto"/>
            <w:left w:val="none" w:sz="0" w:space="0" w:color="auto"/>
            <w:bottom w:val="none" w:sz="0" w:space="0" w:color="auto"/>
            <w:right w:val="none" w:sz="0" w:space="0" w:color="auto"/>
          </w:divBdr>
        </w:div>
        <w:div w:id="1951473423">
          <w:marLeft w:val="0"/>
          <w:marRight w:val="0"/>
          <w:marTop w:val="0"/>
          <w:marBottom w:val="0"/>
          <w:divBdr>
            <w:top w:val="none" w:sz="0" w:space="0" w:color="auto"/>
            <w:left w:val="none" w:sz="0" w:space="0" w:color="auto"/>
            <w:bottom w:val="none" w:sz="0" w:space="0" w:color="auto"/>
            <w:right w:val="none" w:sz="0" w:space="0" w:color="auto"/>
          </w:divBdr>
        </w:div>
      </w:divsChild>
    </w:div>
    <w:div w:id="135149587">
      <w:bodyDiv w:val="1"/>
      <w:marLeft w:val="0"/>
      <w:marRight w:val="0"/>
      <w:marTop w:val="0"/>
      <w:marBottom w:val="0"/>
      <w:divBdr>
        <w:top w:val="none" w:sz="0" w:space="0" w:color="auto"/>
        <w:left w:val="none" w:sz="0" w:space="0" w:color="auto"/>
        <w:bottom w:val="none" w:sz="0" w:space="0" w:color="auto"/>
        <w:right w:val="none" w:sz="0" w:space="0" w:color="auto"/>
      </w:divBdr>
      <w:divsChild>
        <w:div w:id="1397781837">
          <w:marLeft w:val="0"/>
          <w:marRight w:val="0"/>
          <w:marTop w:val="0"/>
          <w:marBottom w:val="0"/>
          <w:divBdr>
            <w:top w:val="none" w:sz="0" w:space="0" w:color="auto"/>
            <w:left w:val="none" w:sz="0" w:space="0" w:color="auto"/>
            <w:bottom w:val="none" w:sz="0" w:space="0" w:color="auto"/>
            <w:right w:val="none" w:sz="0" w:space="0" w:color="auto"/>
          </w:divBdr>
        </w:div>
        <w:div w:id="614289346">
          <w:marLeft w:val="0"/>
          <w:marRight w:val="0"/>
          <w:marTop w:val="0"/>
          <w:marBottom w:val="0"/>
          <w:divBdr>
            <w:top w:val="none" w:sz="0" w:space="0" w:color="auto"/>
            <w:left w:val="none" w:sz="0" w:space="0" w:color="auto"/>
            <w:bottom w:val="none" w:sz="0" w:space="0" w:color="auto"/>
            <w:right w:val="none" w:sz="0" w:space="0" w:color="auto"/>
          </w:divBdr>
        </w:div>
        <w:div w:id="1727339712">
          <w:marLeft w:val="0"/>
          <w:marRight w:val="0"/>
          <w:marTop w:val="0"/>
          <w:marBottom w:val="0"/>
          <w:divBdr>
            <w:top w:val="none" w:sz="0" w:space="0" w:color="auto"/>
            <w:left w:val="none" w:sz="0" w:space="0" w:color="auto"/>
            <w:bottom w:val="none" w:sz="0" w:space="0" w:color="auto"/>
            <w:right w:val="none" w:sz="0" w:space="0" w:color="auto"/>
          </w:divBdr>
        </w:div>
        <w:div w:id="226915537">
          <w:marLeft w:val="0"/>
          <w:marRight w:val="0"/>
          <w:marTop w:val="0"/>
          <w:marBottom w:val="0"/>
          <w:divBdr>
            <w:top w:val="none" w:sz="0" w:space="0" w:color="auto"/>
            <w:left w:val="none" w:sz="0" w:space="0" w:color="auto"/>
            <w:bottom w:val="none" w:sz="0" w:space="0" w:color="auto"/>
            <w:right w:val="none" w:sz="0" w:space="0" w:color="auto"/>
          </w:divBdr>
        </w:div>
        <w:div w:id="693389302">
          <w:marLeft w:val="0"/>
          <w:marRight w:val="0"/>
          <w:marTop w:val="0"/>
          <w:marBottom w:val="0"/>
          <w:divBdr>
            <w:top w:val="none" w:sz="0" w:space="0" w:color="auto"/>
            <w:left w:val="none" w:sz="0" w:space="0" w:color="auto"/>
            <w:bottom w:val="none" w:sz="0" w:space="0" w:color="auto"/>
            <w:right w:val="none" w:sz="0" w:space="0" w:color="auto"/>
          </w:divBdr>
        </w:div>
        <w:div w:id="1234924104">
          <w:marLeft w:val="0"/>
          <w:marRight w:val="0"/>
          <w:marTop w:val="0"/>
          <w:marBottom w:val="0"/>
          <w:divBdr>
            <w:top w:val="none" w:sz="0" w:space="0" w:color="auto"/>
            <w:left w:val="none" w:sz="0" w:space="0" w:color="auto"/>
            <w:bottom w:val="none" w:sz="0" w:space="0" w:color="auto"/>
            <w:right w:val="none" w:sz="0" w:space="0" w:color="auto"/>
          </w:divBdr>
        </w:div>
        <w:div w:id="1769621767">
          <w:marLeft w:val="0"/>
          <w:marRight w:val="0"/>
          <w:marTop w:val="0"/>
          <w:marBottom w:val="0"/>
          <w:divBdr>
            <w:top w:val="none" w:sz="0" w:space="0" w:color="auto"/>
            <w:left w:val="none" w:sz="0" w:space="0" w:color="auto"/>
            <w:bottom w:val="none" w:sz="0" w:space="0" w:color="auto"/>
            <w:right w:val="none" w:sz="0" w:space="0" w:color="auto"/>
          </w:divBdr>
        </w:div>
        <w:div w:id="915742704">
          <w:marLeft w:val="0"/>
          <w:marRight w:val="0"/>
          <w:marTop w:val="0"/>
          <w:marBottom w:val="0"/>
          <w:divBdr>
            <w:top w:val="none" w:sz="0" w:space="0" w:color="auto"/>
            <w:left w:val="none" w:sz="0" w:space="0" w:color="auto"/>
            <w:bottom w:val="none" w:sz="0" w:space="0" w:color="auto"/>
            <w:right w:val="none" w:sz="0" w:space="0" w:color="auto"/>
          </w:divBdr>
        </w:div>
        <w:div w:id="1445419805">
          <w:marLeft w:val="0"/>
          <w:marRight w:val="0"/>
          <w:marTop w:val="0"/>
          <w:marBottom w:val="0"/>
          <w:divBdr>
            <w:top w:val="none" w:sz="0" w:space="0" w:color="auto"/>
            <w:left w:val="none" w:sz="0" w:space="0" w:color="auto"/>
            <w:bottom w:val="none" w:sz="0" w:space="0" w:color="auto"/>
            <w:right w:val="none" w:sz="0" w:space="0" w:color="auto"/>
          </w:divBdr>
        </w:div>
        <w:div w:id="185022263">
          <w:marLeft w:val="0"/>
          <w:marRight w:val="0"/>
          <w:marTop w:val="0"/>
          <w:marBottom w:val="0"/>
          <w:divBdr>
            <w:top w:val="none" w:sz="0" w:space="0" w:color="auto"/>
            <w:left w:val="none" w:sz="0" w:space="0" w:color="auto"/>
            <w:bottom w:val="none" w:sz="0" w:space="0" w:color="auto"/>
            <w:right w:val="none" w:sz="0" w:space="0" w:color="auto"/>
          </w:divBdr>
        </w:div>
        <w:div w:id="1483236483">
          <w:marLeft w:val="0"/>
          <w:marRight w:val="0"/>
          <w:marTop w:val="0"/>
          <w:marBottom w:val="0"/>
          <w:divBdr>
            <w:top w:val="none" w:sz="0" w:space="0" w:color="auto"/>
            <w:left w:val="none" w:sz="0" w:space="0" w:color="auto"/>
            <w:bottom w:val="none" w:sz="0" w:space="0" w:color="auto"/>
            <w:right w:val="none" w:sz="0" w:space="0" w:color="auto"/>
          </w:divBdr>
        </w:div>
        <w:div w:id="721946272">
          <w:marLeft w:val="0"/>
          <w:marRight w:val="0"/>
          <w:marTop w:val="0"/>
          <w:marBottom w:val="0"/>
          <w:divBdr>
            <w:top w:val="none" w:sz="0" w:space="0" w:color="auto"/>
            <w:left w:val="none" w:sz="0" w:space="0" w:color="auto"/>
            <w:bottom w:val="none" w:sz="0" w:space="0" w:color="auto"/>
            <w:right w:val="none" w:sz="0" w:space="0" w:color="auto"/>
          </w:divBdr>
        </w:div>
        <w:div w:id="649946865">
          <w:marLeft w:val="0"/>
          <w:marRight w:val="0"/>
          <w:marTop w:val="0"/>
          <w:marBottom w:val="0"/>
          <w:divBdr>
            <w:top w:val="none" w:sz="0" w:space="0" w:color="auto"/>
            <w:left w:val="none" w:sz="0" w:space="0" w:color="auto"/>
            <w:bottom w:val="none" w:sz="0" w:space="0" w:color="auto"/>
            <w:right w:val="none" w:sz="0" w:space="0" w:color="auto"/>
          </w:divBdr>
        </w:div>
        <w:div w:id="1370299442">
          <w:marLeft w:val="0"/>
          <w:marRight w:val="0"/>
          <w:marTop w:val="0"/>
          <w:marBottom w:val="0"/>
          <w:divBdr>
            <w:top w:val="none" w:sz="0" w:space="0" w:color="auto"/>
            <w:left w:val="none" w:sz="0" w:space="0" w:color="auto"/>
            <w:bottom w:val="none" w:sz="0" w:space="0" w:color="auto"/>
            <w:right w:val="none" w:sz="0" w:space="0" w:color="auto"/>
          </w:divBdr>
        </w:div>
        <w:div w:id="1015227670">
          <w:marLeft w:val="0"/>
          <w:marRight w:val="0"/>
          <w:marTop w:val="0"/>
          <w:marBottom w:val="0"/>
          <w:divBdr>
            <w:top w:val="none" w:sz="0" w:space="0" w:color="auto"/>
            <w:left w:val="none" w:sz="0" w:space="0" w:color="auto"/>
            <w:bottom w:val="none" w:sz="0" w:space="0" w:color="auto"/>
            <w:right w:val="none" w:sz="0" w:space="0" w:color="auto"/>
          </w:divBdr>
        </w:div>
        <w:div w:id="1300500805">
          <w:marLeft w:val="0"/>
          <w:marRight w:val="0"/>
          <w:marTop w:val="0"/>
          <w:marBottom w:val="0"/>
          <w:divBdr>
            <w:top w:val="none" w:sz="0" w:space="0" w:color="auto"/>
            <w:left w:val="none" w:sz="0" w:space="0" w:color="auto"/>
            <w:bottom w:val="none" w:sz="0" w:space="0" w:color="auto"/>
            <w:right w:val="none" w:sz="0" w:space="0" w:color="auto"/>
          </w:divBdr>
        </w:div>
      </w:divsChild>
    </w:div>
    <w:div w:id="246154342">
      <w:bodyDiv w:val="1"/>
      <w:marLeft w:val="0"/>
      <w:marRight w:val="0"/>
      <w:marTop w:val="0"/>
      <w:marBottom w:val="0"/>
      <w:divBdr>
        <w:top w:val="none" w:sz="0" w:space="0" w:color="auto"/>
        <w:left w:val="none" w:sz="0" w:space="0" w:color="auto"/>
        <w:bottom w:val="none" w:sz="0" w:space="0" w:color="auto"/>
        <w:right w:val="none" w:sz="0" w:space="0" w:color="auto"/>
      </w:divBdr>
      <w:divsChild>
        <w:div w:id="1525438963">
          <w:marLeft w:val="0"/>
          <w:marRight w:val="0"/>
          <w:marTop w:val="0"/>
          <w:marBottom w:val="0"/>
          <w:divBdr>
            <w:top w:val="none" w:sz="0" w:space="0" w:color="auto"/>
            <w:left w:val="none" w:sz="0" w:space="0" w:color="auto"/>
            <w:bottom w:val="none" w:sz="0" w:space="0" w:color="auto"/>
            <w:right w:val="none" w:sz="0" w:space="0" w:color="auto"/>
          </w:divBdr>
        </w:div>
        <w:div w:id="1776898262">
          <w:marLeft w:val="0"/>
          <w:marRight w:val="0"/>
          <w:marTop w:val="0"/>
          <w:marBottom w:val="0"/>
          <w:divBdr>
            <w:top w:val="none" w:sz="0" w:space="0" w:color="auto"/>
            <w:left w:val="none" w:sz="0" w:space="0" w:color="auto"/>
            <w:bottom w:val="none" w:sz="0" w:space="0" w:color="auto"/>
            <w:right w:val="none" w:sz="0" w:space="0" w:color="auto"/>
          </w:divBdr>
        </w:div>
        <w:div w:id="1197889058">
          <w:marLeft w:val="0"/>
          <w:marRight w:val="0"/>
          <w:marTop w:val="0"/>
          <w:marBottom w:val="0"/>
          <w:divBdr>
            <w:top w:val="none" w:sz="0" w:space="0" w:color="auto"/>
            <w:left w:val="none" w:sz="0" w:space="0" w:color="auto"/>
            <w:bottom w:val="none" w:sz="0" w:space="0" w:color="auto"/>
            <w:right w:val="none" w:sz="0" w:space="0" w:color="auto"/>
          </w:divBdr>
        </w:div>
        <w:div w:id="1841195716">
          <w:marLeft w:val="0"/>
          <w:marRight w:val="0"/>
          <w:marTop w:val="0"/>
          <w:marBottom w:val="0"/>
          <w:divBdr>
            <w:top w:val="none" w:sz="0" w:space="0" w:color="auto"/>
            <w:left w:val="none" w:sz="0" w:space="0" w:color="auto"/>
            <w:bottom w:val="none" w:sz="0" w:space="0" w:color="auto"/>
            <w:right w:val="none" w:sz="0" w:space="0" w:color="auto"/>
          </w:divBdr>
        </w:div>
        <w:div w:id="2065248333">
          <w:marLeft w:val="0"/>
          <w:marRight w:val="0"/>
          <w:marTop w:val="0"/>
          <w:marBottom w:val="0"/>
          <w:divBdr>
            <w:top w:val="none" w:sz="0" w:space="0" w:color="auto"/>
            <w:left w:val="none" w:sz="0" w:space="0" w:color="auto"/>
            <w:bottom w:val="none" w:sz="0" w:space="0" w:color="auto"/>
            <w:right w:val="none" w:sz="0" w:space="0" w:color="auto"/>
          </w:divBdr>
        </w:div>
        <w:div w:id="510532140">
          <w:marLeft w:val="0"/>
          <w:marRight w:val="0"/>
          <w:marTop w:val="0"/>
          <w:marBottom w:val="0"/>
          <w:divBdr>
            <w:top w:val="none" w:sz="0" w:space="0" w:color="auto"/>
            <w:left w:val="none" w:sz="0" w:space="0" w:color="auto"/>
            <w:bottom w:val="none" w:sz="0" w:space="0" w:color="auto"/>
            <w:right w:val="none" w:sz="0" w:space="0" w:color="auto"/>
          </w:divBdr>
        </w:div>
        <w:div w:id="688408129">
          <w:marLeft w:val="0"/>
          <w:marRight w:val="0"/>
          <w:marTop w:val="0"/>
          <w:marBottom w:val="0"/>
          <w:divBdr>
            <w:top w:val="none" w:sz="0" w:space="0" w:color="auto"/>
            <w:left w:val="none" w:sz="0" w:space="0" w:color="auto"/>
            <w:bottom w:val="none" w:sz="0" w:space="0" w:color="auto"/>
            <w:right w:val="none" w:sz="0" w:space="0" w:color="auto"/>
          </w:divBdr>
        </w:div>
        <w:div w:id="1057779061">
          <w:marLeft w:val="0"/>
          <w:marRight w:val="0"/>
          <w:marTop w:val="0"/>
          <w:marBottom w:val="0"/>
          <w:divBdr>
            <w:top w:val="none" w:sz="0" w:space="0" w:color="auto"/>
            <w:left w:val="none" w:sz="0" w:space="0" w:color="auto"/>
            <w:bottom w:val="none" w:sz="0" w:space="0" w:color="auto"/>
            <w:right w:val="none" w:sz="0" w:space="0" w:color="auto"/>
          </w:divBdr>
        </w:div>
        <w:div w:id="1161964417">
          <w:marLeft w:val="0"/>
          <w:marRight w:val="0"/>
          <w:marTop w:val="0"/>
          <w:marBottom w:val="0"/>
          <w:divBdr>
            <w:top w:val="none" w:sz="0" w:space="0" w:color="auto"/>
            <w:left w:val="none" w:sz="0" w:space="0" w:color="auto"/>
            <w:bottom w:val="none" w:sz="0" w:space="0" w:color="auto"/>
            <w:right w:val="none" w:sz="0" w:space="0" w:color="auto"/>
          </w:divBdr>
        </w:div>
        <w:div w:id="320620617">
          <w:marLeft w:val="0"/>
          <w:marRight w:val="0"/>
          <w:marTop w:val="0"/>
          <w:marBottom w:val="0"/>
          <w:divBdr>
            <w:top w:val="none" w:sz="0" w:space="0" w:color="auto"/>
            <w:left w:val="none" w:sz="0" w:space="0" w:color="auto"/>
            <w:bottom w:val="none" w:sz="0" w:space="0" w:color="auto"/>
            <w:right w:val="none" w:sz="0" w:space="0" w:color="auto"/>
          </w:divBdr>
        </w:div>
        <w:div w:id="1100874482">
          <w:marLeft w:val="0"/>
          <w:marRight w:val="0"/>
          <w:marTop w:val="0"/>
          <w:marBottom w:val="0"/>
          <w:divBdr>
            <w:top w:val="none" w:sz="0" w:space="0" w:color="auto"/>
            <w:left w:val="none" w:sz="0" w:space="0" w:color="auto"/>
            <w:bottom w:val="none" w:sz="0" w:space="0" w:color="auto"/>
            <w:right w:val="none" w:sz="0" w:space="0" w:color="auto"/>
          </w:divBdr>
        </w:div>
      </w:divsChild>
    </w:div>
    <w:div w:id="300423930">
      <w:bodyDiv w:val="1"/>
      <w:marLeft w:val="0"/>
      <w:marRight w:val="0"/>
      <w:marTop w:val="0"/>
      <w:marBottom w:val="0"/>
      <w:divBdr>
        <w:top w:val="none" w:sz="0" w:space="0" w:color="auto"/>
        <w:left w:val="none" w:sz="0" w:space="0" w:color="auto"/>
        <w:bottom w:val="none" w:sz="0" w:space="0" w:color="auto"/>
        <w:right w:val="none" w:sz="0" w:space="0" w:color="auto"/>
      </w:divBdr>
      <w:divsChild>
        <w:div w:id="582180791">
          <w:marLeft w:val="0"/>
          <w:marRight w:val="0"/>
          <w:marTop w:val="0"/>
          <w:marBottom w:val="0"/>
          <w:divBdr>
            <w:top w:val="none" w:sz="0" w:space="0" w:color="auto"/>
            <w:left w:val="none" w:sz="0" w:space="0" w:color="auto"/>
            <w:bottom w:val="none" w:sz="0" w:space="0" w:color="auto"/>
            <w:right w:val="none" w:sz="0" w:space="0" w:color="auto"/>
          </w:divBdr>
        </w:div>
        <w:div w:id="184561879">
          <w:marLeft w:val="0"/>
          <w:marRight w:val="0"/>
          <w:marTop w:val="0"/>
          <w:marBottom w:val="0"/>
          <w:divBdr>
            <w:top w:val="none" w:sz="0" w:space="0" w:color="auto"/>
            <w:left w:val="none" w:sz="0" w:space="0" w:color="auto"/>
            <w:bottom w:val="none" w:sz="0" w:space="0" w:color="auto"/>
            <w:right w:val="none" w:sz="0" w:space="0" w:color="auto"/>
          </w:divBdr>
        </w:div>
        <w:div w:id="1186596153">
          <w:marLeft w:val="0"/>
          <w:marRight w:val="0"/>
          <w:marTop w:val="0"/>
          <w:marBottom w:val="0"/>
          <w:divBdr>
            <w:top w:val="none" w:sz="0" w:space="0" w:color="auto"/>
            <w:left w:val="none" w:sz="0" w:space="0" w:color="auto"/>
            <w:bottom w:val="none" w:sz="0" w:space="0" w:color="auto"/>
            <w:right w:val="none" w:sz="0" w:space="0" w:color="auto"/>
          </w:divBdr>
        </w:div>
        <w:div w:id="1439831351">
          <w:marLeft w:val="0"/>
          <w:marRight w:val="0"/>
          <w:marTop w:val="0"/>
          <w:marBottom w:val="0"/>
          <w:divBdr>
            <w:top w:val="none" w:sz="0" w:space="0" w:color="auto"/>
            <w:left w:val="none" w:sz="0" w:space="0" w:color="auto"/>
            <w:bottom w:val="none" w:sz="0" w:space="0" w:color="auto"/>
            <w:right w:val="none" w:sz="0" w:space="0" w:color="auto"/>
          </w:divBdr>
        </w:div>
        <w:div w:id="1951619852">
          <w:marLeft w:val="0"/>
          <w:marRight w:val="0"/>
          <w:marTop w:val="0"/>
          <w:marBottom w:val="0"/>
          <w:divBdr>
            <w:top w:val="none" w:sz="0" w:space="0" w:color="auto"/>
            <w:left w:val="none" w:sz="0" w:space="0" w:color="auto"/>
            <w:bottom w:val="none" w:sz="0" w:space="0" w:color="auto"/>
            <w:right w:val="none" w:sz="0" w:space="0" w:color="auto"/>
          </w:divBdr>
        </w:div>
        <w:div w:id="2111661002">
          <w:marLeft w:val="0"/>
          <w:marRight w:val="0"/>
          <w:marTop w:val="0"/>
          <w:marBottom w:val="0"/>
          <w:divBdr>
            <w:top w:val="none" w:sz="0" w:space="0" w:color="auto"/>
            <w:left w:val="none" w:sz="0" w:space="0" w:color="auto"/>
            <w:bottom w:val="none" w:sz="0" w:space="0" w:color="auto"/>
            <w:right w:val="none" w:sz="0" w:space="0" w:color="auto"/>
          </w:divBdr>
        </w:div>
        <w:div w:id="1446922877">
          <w:marLeft w:val="0"/>
          <w:marRight w:val="0"/>
          <w:marTop w:val="0"/>
          <w:marBottom w:val="0"/>
          <w:divBdr>
            <w:top w:val="none" w:sz="0" w:space="0" w:color="auto"/>
            <w:left w:val="none" w:sz="0" w:space="0" w:color="auto"/>
            <w:bottom w:val="none" w:sz="0" w:space="0" w:color="auto"/>
            <w:right w:val="none" w:sz="0" w:space="0" w:color="auto"/>
          </w:divBdr>
        </w:div>
        <w:div w:id="1134256371">
          <w:marLeft w:val="0"/>
          <w:marRight w:val="0"/>
          <w:marTop w:val="0"/>
          <w:marBottom w:val="0"/>
          <w:divBdr>
            <w:top w:val="none" w:sz="0" w:space="0" w:color="auto"/>
            <w:left w:val="none" w:sz="0" w:space="0" w:color="auto"/>
            <w:bottom w:val="none" w:sz="0" w:space="0" w:color="auto"/>
            <w:right w:val="none" w:sz="0" w:space="0" w:color="auto"/>
          </w:divBdr>
        </w:div>
        <w:div w:id="23678236">
          <w:marLeft w:val="0"/>
          <w:marRight w:val="0"/>
          <w:marTop w:val="0"/>
          <w:marBottom w:val="0"/>
          <w:divBdr>
            <w:top w:val="none" w:sz="0" w:space="0" w:color="auto"/>
            <w:left w:val="none" w:sz="0" w:space="0" w:color="auto"/>
            <w:bottom w:val="none" w:sz="0" w:space="0" w:color="auto"/>
            <w:right w:val="none" w:sz="0" w:space="0" w:color="auto"/>
          </w:divBdr>
        </w:div>
        <w:div w:id="1056928048">
          <w:marLeft w:val="0"/>
          <w:marRight w:val="0"/>
          <w:marTop w:val="0"/>
          <w:marBottom w:val="0"/>
          <w:divBdr>
            <w:top w:val="none" w:sz="0" w:space="0" w:color="auto"/>
            <w:left w:val="none" w:sz="0" w:space="0" w:color="auto"/>
            <w:bottom w:val="none" w:sz="0" w:space="0" w:color="auto"/>
            <w:right w:val="none" w:sz="0" w:space="0" w:color="auto"/>
          </w:divBdr>
        </w:div>
        <w:div w:id="2049376879">
          <w:marLeft w:val="0"/>
          <w:marRight w:val="0"/>
          <w:marTop w:val="0"/>
          <w:marBottom w:val="0"/>
          <w:divBdr>
            <w:top w:val="none" w:sz="0" w:space="0" w:color="auto"/>
            <w:left w:val="none" w:sz="0" w:space="0" w:color="auto"/>
            <w:bottom w:val="none" w:sz="0" w:space="0" w:color="auto"/>
            <w:right w:val="none" w:sz="0" w:space="0" w:color="auto"/>
          </w:divBdr>
        </w:div>
        <w:div w:id="1655834358">
          <w:marLeft w:val="0"/>
          <w:marRight w:val="0"/>
          <w:marTop w:val="0"/>
          <w:marBottom w:val="0"/>
          <w:divBdr>
            <w:top w:val="none" w:sz="0" w:space="0" w:color="auto"/>
            <w:left w:val="none" w:sz="0" w:space="0" w:color="auto"/>
            <w:bottom w:val="none" w:sz="0" w:space="0" w:color="auto"/>
            <w:right w:val="none" w:sz="0" w:space="0" w:color="auto"/>
          </w:divBdr>
        </w:div>
        <w:div w:id="230317258">
          <w:marLeft w:val="0"/>
          <w:marRight w:val="0"/>
          <w:marTop w:val="0"/>
          <w:marBottom w:val="0"/>
          <w:divBdr>
            <w:top w:val="none" w:sz="0" w:space="0" w:color="auto"/>
            <w:left w:val="none" w:sz="0" w:space="0" w:color="auto"/>
            <w:bottom w:val="none" w:sz="0" w:space="0" w:color="auto"/>
            <w:right w:val="none" w:sz="0" w:space="0" w:color="auto"/>
          </w:divBdr>
        </w:div>
        <w:div w:id="1380133946">
          <w:marLeft w:val="0"/>
          <w:marRight w:val="0"/>
          <w:marTop w:val="0"/>
          <w:marBottom w:val="0"/>
          <w:divBdr>
            <w:top w:val="none" w:sz="0" w:space="0" w:color="auto"/>
            <w:left w:val="none" w:sz="0" w:space="0" w:color="auto"/>
            <w:bottom w:val="none" w:sz="0" w:space="0" w:color="auto"/>
            <w:right w:val="none" w:sz="0" w:space="0" w:color="auto"/>
          </w:divBdr>
        </w:div>
        <w:div w:id="1091462517">
          <w:marLeft w:val="0"/>
          <w:marRight w:val="0"/>
          <w:marTop w:val="0"/>
          <w:marBottom w:val="0"/>
          <w:divBdr>
            <w:top w:val="none" w:sz="0" w:space="0" w:color="auto"/>
            <w:left w:val="none" w:sz="0" w:space="0" w:color="auto"/>
            <w:bottom w:val="none" w:sz="0" w:space="0" w:color="auto"/>
            <w:right w:val="none" w:sz="0" w:space="0" w:color="auto"/>
          </w:divBdr>
        </w:div>
        <w:div w:id="1353650457">
          <w:marLeft w:val="0"/>
          <w:marRight w:val="0"/>
          <w:marTop w:val="0"/>
          <w:marBottom w:val="0"/>
          <w:divBdr>
            <w:top w:val="none" w:sz="0" w:space="0" w:color="auto"/>
            <w:left w:val="none" w:sz="0" w:space="0" w:color="auto"/>
            <w:bottom w:val="none" w:sz="0" w:space="0" w:color="auto"/>
            <w:right w:val="none" w:sz="0" w:space="0" w:color="auto"/>
          </w:divBdr>
        </w:div>
        <w:div w:id="2072997563">
          <w:marLeft w:val="0"/>
          <w:marRight w:val="0"/>
          <w:marTop w:val="0"/>
          <w:marBottom w:val="0"/>
          <w:divBdr>
            <w:top w:val="none" w:sz="0" w:space="0" w:color="auto"/>
            <w:left w:val="none" w:sz="0" w:space="0" w:color="auto"/>
            <w:bottom w:val="none" w:sz="0" w:space="0" w:color="auto"/>
            <w:right w:val="none" w:sz="0" w:space="0" w:color="auto"/>
          </w:divBdr>
        </w:div>
        <w:div w:id="803622584">
          <w:marLeft w:val="0"/>
          <w:marRight w:val="0"/>
          <w:marTop w:val="0"/>
          <w:marBottom w:val="0"/>
          <w:divBdr>
            <w:top w:val="none" w:sz="0" w:space="0" w:color="auto"/>
            <w:left w:val="none" w:sz="0" w:space="0" w:color="auto"/>
            <w:bottom w:val="none" w:sz="0" w:space="0" w:color="auto"/>
            <w:right w:val="none" w:sz="0" w:space="0" w:color="auto"/>
          </w:divBdr>
        </w:div>
      </w:divsChild>
    </w:div>
    <w:div w:id="523523623">
      <w:bodyDiv w:val="1"/>
      <w:marLeft w:val="0"/>
      <w:marRight w:val="0"/>
      <w:marTop w:val="0"/>
      <w:marBottom w:val="0"/>
      <w:divBdr>
        <w:top w:val="none" w:sz="0" w:space="0" w:color="auto"/>
        <w:left w:val="none" w:sz="0" w:space="0" w:color="auto"/>
        <w:bottom w:val="none" w:sz="0" w:space="0" w:color="auto"/>
        <w:right w:val="none" w:sz="0" w:space="0" w:color="auto"/>
      </w:divBdr>
      <w:divsChild>
        <w:div w:id="2093769116">
          <w:marLeft w:val="0"/>
          <w:marRight w:val="0"/>
          <w:marTop w:val="0"/>
          <w:marBottom w:val="0"/>
          <w:divBdr>
            <w:top w:val="none" w:sz="0" w:space="0" w:color="auto"/>
            <w:left w:val="none" w:sz="0" w:space="0" w:color="auto"/>
            <w:bottom w:val="none" w:sz="0" w:space="0" w:color="auto"/>
            <w:right w:val="none" w:sz="0" w:space="0" w:color="auto"/>
          </w:divBdr>
        </w:div>
        <w:div w:id="973944812">
          <w:marLeft w:val="0"/>
          <w:marRight w:val="0"/>
          <w:marTop w:val="0"/>
          <w:marBottom w:val="0"/>
          <w:divBdr>
            <w:top w:val="none" w:sz="0" w:space="0" w:color="auto"/>
            <w:left w:val="none" w:sz="0" w:space="0" w:color="auto"/>
            <w:bottom w:val="none" w:sz="0" w:space="0" w:color="auto"/>
            <w:right w:val="none" w:sz="0" w:space="0" w:color="auto"/>
          </w:divBdr>
        </w:div>
        <w:div w:id="1741713869">
          <w:marLeft w:val="0"/>
          <w:marRight w:val="0"/>
          <w:marTop w:val="0"/>
          <w:marBottom w:val="0"/>
          <w:divBdr>
            <w:top w:val="none" w:sz="0" w:space="0" w:color="auto"/>
            <w:left w:val="none" w:sz="0" w:space="0" w:color="auto"/>
            <w:bottom w:val="none" w:sz="0" w:space="0" w:color="auto"/>
            <w:right w:val="none" w:sz="0" w:space="0" w:color="auto"/>
          </w:divBdr>
        </w:div>
        <w:div w:id="2038041249">
          <w:marLeft w:val="0"/>
          <w:marRight w:val="0"/>
          <w:marTop w:val="0"/>
          <w:marBottom w:val="0"/>
          <w:divBdr>
            <w:top w:val="none" w:sz="0" w:space="0" w:color="auto"/>
            <w:left w:val="none" w:sz="0" w:space="0" w:color="auto"/>
            <w:bottom w:val="none" w:sz="0" w:space="0" w:color="auto"/>
            <w:right w:val="none" w:sz="0" w:space="0" w:color="auto"/>
          </w:divBdr>
        </w:div>
        <w:div w:id="1050542638">
          <w:marLeft w:val="0"/>
          <w:marRight w:val="0"/>
          <w:marTop w:val="0"/>
          <w:marBottom w:val="0"/>
          <w:divBdr>
            <w:top w:val="none" w:sz="0" w:space="0" w:color="auto"/>
            <w:left w:val="none" w:sz="0" w:space="0" w:color="auto"/>
            <w:bottom w:val="none" w:sz="0" w:space="0" w:color="auto"/>
            <w:right w:val="none" w:sz="0" w:space="0" w:color="auto"/>
          </w:divBdr>
        </w:div>
        <w:div w:id="817455745">
          <w:marLeft w:val="0"/>
          <w:marRight w:val="0"/>
          <w:marTop w:val="0"/>
          <w:marBottom w:val="0"/>
          <w:divBdr>
            <w:top w:val="none" w:sz="0" w:space="0" w:color="auto"/>
            <w:left w:val="none" w:sz="0" w:space="0" w:color="auto"/>
            <w:bottom w:val="none" w:sz="0" w:space="0" w:color="auto"/>
            <w:right w:val="none" w:sz="0" w:space="0" w:color="auto"/>
          </w:divBdr>
        </w:div>
        <w:div w:id="459300011">
          <w:marLeft w:val="0"/>
          <w:marRight w:val="0"/>
          <w:marTop w:val="0"/>
          <w:marBottom w:val="0"/>
          <w:divBdr>
            <w:top w:val="none" w:sz="0" w:space="0" w:color="auto"/>
            <w:left w:val="none" w:sz="0" w:space="0" w:color="auto"/>
            <w:bottom w:val="none" w:sz="0" w:space="0" w:color="auto"/>
            <w:right w:val="none" w:sz="0" w:space="0" w:color="auto"/>
          </w:divBdr>
        </w:div>
        <w:div w:id="869879410">
          <w:marLeft w:val="0"/>
          <w:marRight w:val="0"/>
          <w:marTop w:val="0"/>
          <w:marBottom w:val="0"/>
          <w:divBdr>
            <w:top w:val="none" w:sz="0" w:space="0" w:color="auto"/>
            <w:left w:val="none" w:sz="0" w:space="0" w:color="auto"/>
            <w:bottom w:val="none" w:sz="0" w:space="0" w:color="auto"/>
            <w:right w:val="none" w:sz="0" w:space="0" w:color="auto"/>
          </w:divBdr>
        </w:div>
        <w:div w:id="335692717">
          <w:marLeft w:val="0"/>
          <w:marRight w:val="0"/>
          <w:marTop w:val="0"/>
          <w:marBottom w:val="0"/>
          <w:divBdr>
            <w:top w:val="none" w:sz="0" w:space="0" w:color="auto"/>
            <w:left w:val="none" w:sz="0" w:space="0" w:color="auto"/>
            <w:bottom w:val="none" w:sz="0" w:space="0" w:color="auto"/>
            <w:right w:val="none" w:sz="0" w:space="0" w:color="auto"/>
          </w:divBdr>
        </w:div>
        <w:div w:id="1358460353">
          <w:marLeft w:val="0"/>
          <w:marRight w:val="0"/>
          <w:marTop w:val="0"/>
          <w:marBottom w:val="0"/>
          <w:divBdr>
            <w:top w:val="none" w:sz="0" w:space="0" w:color="auto"/>
            <w:left w:val="none" w:sz="0" w:space="0" w:color="auto"/>
            <w:bottom w:val="none" w:sz="0" w:space="0" w:color="auto"/>
            <w:right w:val="none" w:sz="0" w:space="0" w:color="auto"/>
          </w:divBdr>
        </w:div>
        <w:div w:id="729033769">
          <w:marLeft w:val="0"/>
          <w:marRight w:val="0"/>
          <w:marTop w:val="0"/>
          <w:marBottom w:val="0"/>
          <w:divBdr>
            <w:top w:val="none" w:sz="0" w:space="0" w:color="auto"/>
            <w:left w:val="none" w:sz="0" w:space="0" w:color="auto"/>
            <w:bottom w:val="none" w:sz="0" w:space="0" w:color="auto"/>
            <w:right w:val="none" w:sz="0" w:space="0" w:color="auto"/>
          </w:divBdr>
        </w:div>
        <w:div w:id="927419202">
          <w:marLeft w:val="0"/>
          <w:marRight w:val="0"/>
          <w:marTop w:val="0"/>
          <w:marBottom w:val="0"/>
          <w:divBdr>
            <w:top w:val="none" w:sz="0" w:space="0" w:color="auto"/>
            <w:left w:val="none" w:sz="0" w:space="0" w:color="auto"/>
            <w:bottom w:val="none" w:sz="0" w:space="0" w:color="auto"/>
            <w:right w:val="none" w:sz="0" w:space="0" w:color="auto"/>
          </w:divBdr>
        </w:div>
        <w:div w:id="1374428821">
          <w:marLeft w:val="0"/>
          <w:marRight w:val="0"/>
          <w:marTop w:val="0"/>
          <w:marBottom w:val="0"/>
          <w:divBdr>
            <w:top w:val="none" w:sz="0" w:space="0" w:color="auto"/>
            <w:left w:val="none" w:sz="0" w:space="0" w:color="auto"/>
            <w:bottom w:val="none" w:sz="0" w:space="0" w:color="auto"/>
            <w:right w:val="none" w:sz="0" w:space="0" w:color="auto"/>
          </w:divBdr>
        </w:div>
        <w:div w:id="1067647661">
          <w:marLeft w:val="0"/>
          <w:marRight w:val="0"/>
          <w:marTop w:val="0"/>
          <w:marBottom w:val="0"/>
          <w:divBdr>
            <w:top w:val="none" w:sz="0" w:space="0" w:color="auto"/>
            <w:left w:val="none" w:sz="0" w:space="0" w:color="auto"/>
            <w:bottom w:val="none" w:sz="0" w:space="0" w:color="auto"/>
            <w:right w:val="none" w:sz="0" w:space="0" w:color="auto"/>
          </w:divBdr>
        </w:div>
        <w:div w:id="493423347">
          <w:marLeft w:val="0"/>
          <w:marRight w:val="0"/>
          <w:marTop w:val="0"/>
          <w:marBottom w:val="0"/>
          <w:divBdr>
            <w:top w:val="none" w:sz="0" w:space="0" w:color="auto"/>
            <w:left w:val="none" w:sz="0" w:space="0" w:color="auto"/>
            <w:bottom w:val="none" w:sz="0" w:space="0" w:color="auto"/>
            <w:right w:val="none" w:sz="0" w:space="0" w:color="auto"/>
          </w:divBdr>
        </w:div>
        <w:div w:id="393745427">
          <w:marLeft w:val="0"/>
          <w:marRight w:val="0"/>
          <w:marTop w:val="0"/>
          <w:marBottom w:val="0"/>
          <w:divBdr>
            <w:top w:val="none" w:sz="0" w:space="0" w:color="auto"/>
            <w:left w:val="none" w:sz="0" w:space="0" w:color="auto"/>
            <w:bottom w:val="none" w:sz="0" w:space="0" w:color="auto"/>
            <w:right w:val="none" w:sz="0" w:space="0" w:color="auto"/>
          </w:divBdr>
        </w:div>
      </w:divsChild>
    </w:div>
    <w:div w:id="553003804">
      <w:bodyDiv w:val="1"/>
      <w:marLeft w:val="0"/>
      <w:marRight w:val="0"/>
      <w:marTop w:val="0"/>
      <w:marBottom w:val="0"/>
      <w:divBdr>
        <w:top w:val="none" w:sz="0" w:space="0" w:color="auto"/>
        <w:left w:val="none" w:sz="0" w:space="0" w:color="auto"/>
        <w:bottom w:val="none" w:sz="0" w:space="0" w:color="auto"/>
        <w:right w:val="none" w:sz="0" w:space="0" w:color="auto"/>
      </w:divBdr>
      <w:divsChild>
        <w:div w:id="307977535">
          <w:marLeft w:val="0"/>
          <w:marRight w:val="0"/>
          <w:marTop w:val="0"/>
          <w:marBottom w:val="0"/>
          <w:divBdr>
            <w:top w:val="none" w:sz="0" w:space="0" w:color="auto"/>
            <w:left w:val="none" w:sz="0" w:space="0" w:color="auto"/>
            <w:bottom w:val="none" w:sz="0" w:space="0" w:color="auto"/>
            <w:right w:val="none" w:sz="0" w:space="0" w:color="auto"/>
          </w:divBdr>
        </w:div>
        <w:div w:id="1752196421">
          <w:marLeft w:val="0"/>
          <w:marRight w:val="0"/>
          <w:marTop w:val="0"/>
          <w:marBottom w:val="0"/>
          <w:divBdr>
            <w:top w:val="none" w:sz="0" w:space="0" w:color="auto"/>
            <w:left w:val="none" w:sz="0" w:space="0" w:color="auto"/>
            <w:bottom w:val="none" w:sz="0" w:space="0" w:color="auto"/>
            <w:right w:val="none" w:sz="0" w:space="0" w:color="auto"/>
          </w:divBdr>
        </w:div>
        <w:div w:id="657269980">
          <w:marLeft w:val="0"/>
          <w:marRight w:val="0"/>
          <w:marTop w:val="0"/>
          <w:marBottom w:val="0"/>
          <w:divBdr>
            <w:top w:val="none" w:sz="0" w:space="0" w:color="auto"/>
            <w:left w:val="none" w:sz="0" w:space="0" w:color="auto"/>
            <w:bottom w:val="none" w:sz="0" w:space="0" w:color="auto"/>
            <w:right w:val="none" w:sz="0" w:space="0" w:color="auto"/>
          </w:divBdr>
        </w:div>
      </w:divsChild>
    </w:div>
    <w:div w:id="601913958">
      <w:bodyDiv w:val="1"/>
      <w:marLeft w:val="0"/>
      <w:marRight w:val="0"/>
      <w:marTop w:val="0"/>
      <w:marBottom w:val="0"/>
      <w:divBdr>
        <w:top w:val="none" w:sz="0" w:space="0" w:color="auto"/>
        <w:left w:val="none" w:sz="0" w:space="0" w:color="auto"/>
        <w:bottom w:val="none" w:sz="0" w:space="0" w:color="auto"/>
        <w:right w:val="none" w:sz="0" w:space="0" w:color="auto"/>
      </w:divBdr>
      <w:divsChild>
        <w:div w:id="2014720780">
          <w:marLeft w:val="0"/>
          <w:marRight w:val="0"/>
          <w:marTop w:val="0"/>
          <w:marBottom w:val="0"/>
          <w:divBdr>
            <w:top w:val="none" w:sz="0" w:space="0" w:color="auto"/>
            <w:left w:val="none" w:sz="0" w:space="0" w:color="auto"/>
            <w:bottom w:val="none" w:sz="0" w:space="0" w:color="auto"/>
            <w:right w:val="none" w:sz="0" w:space="0" w:color="auto"/>
          </w:divBdr>
        </w:div>
        <w:div w:id="1637762123">
          <w:marLeft w:val="0"/>
          <w:marRight w:val="0"/>
          <w:marTop w:val="0"/>
          <w:marBottom w:val="0"/>
          <w:divBdr>
            <w:top w:val="none" w:sz="0" w:space="0" w:color="auto"/>
            <w:left w:val="none" w:sz="0" w:space="0" w:color="auto"/>
            <w:bottom w:val="none" w:sz="0" w:space="0" w:color="auto"/>
            <w:right w:val="none" w:sz="0" w:space="0" w:color="auto"/>
          </w:divBdr>
        </w:div>
        <w:div w:id="154886212">
          <w:marLeft w:val="0"/>
          <w:marRight w:val="0"/>
          <w:marTop w:val="0"/>
          <w:marBottom w:val="0"/>
          <w:divBdr>
            <w:top w:val="none" w:sz="0" w:space="0" w:color="auto"/>
            <w:left w:val="none" w:sz="0" w:space="0" w:color="auto"/>
            <w:bottom w:val="none" w:sz="0" w:space="0" w:color="auto"/>
            <w:right w:val="none" w:sz="0" w:space="0" w:color="auto"/>
          </w:divBdr>
        </w:div>
        <w:div w:id="691809348">
          <w:marLeft w:val="0"/>
          <w:marRight w:val="0"/>
          <w:marTop w:val="0"/>
          <w:marBottom w:val="0"/>
          <w:divBdr>
            <w:top w:val="none" w:sz="0" w:space="0" w:color="auto"/>
            <w:left w:val="none" w:sz="0" w:space="0" w:color="auto"/>
            <w:bottom w:val="none" w:sz="0" w:space="0" w:color="auto"/>
            <w:right w:val="none" w:sz="0" w:space="0" w:color="auto"/>
          </w:divBdr>
        </w:div>
        <w:div w:id="1069613314">
          <w:marLeft w:val="0"/>
          <w:marRight w:val="0"/>
          <w:marTop w:val="0"/>
          <w:marBottom w:val="0"/>
          <w:divBdr>
            <w:top w:val="none" w:sz="0" w:space="0" w:color="auto"/>
            <w:left w:val="none" w:sz="0" w:space="0" w:color="auto"/>
            <w:bottom w:val="none" w:sz="0" w:space="0" w:color="auto"/>
            <w:right w:val="none" w:sz="0" w:space="0" w:color="auto"/>
          </w:divBdr>
        </w:div>
        <w:div w:id="622003045">
          <w:marLeft w:val="0"/>
          <w:marRight w:val="0"/>
          <w:marTop w:val="0"/>
          <w:marBottom w:val="0"/>
          <w:divBdr>
            <w:top w:val="none" w:sz="0" w:space="0" w:color="auto"/>
            <w:left w:val="none" w:sz="0" w:space="0" w:color="auto"/>
            <w:bottom w:val="none" w:sz="0" w:space="0" w:color="auto"/>
            <w:right w:val="none" w:sz="0" w:space="0" w:color="auto"/>
          </w:divBdr>
        </w:div>
        <w:div w:id="1371032155">
          <w:marLeft w:val="0"/>
          <w:marRight w:val="0"/>
          <w:marTop w:val="0"/>
          <w:marBottom w:val="0"/>
          <w:divBdr>
            <w:top w:val="none" w:sz="0" w:space="0" w:color="auto"/>
            <w:left w:val="none" w:sz="0" w:space="0" w:color="auto"/>
            <w:bottom w:val="none" w:sz="0" w:space="0" w:color="auto"/>
            <w:right w:val="none" w:sz="0" w:space="0" w:color="auto"/>
          </w:divBdr>
        </w:div>
        <w:div w:id="513228711">
          <w:marLeft w:val="0"/>
          <w:marRight w:val="0"/>
          <w:marTop w:val="0"/>
          <w:marBottom w:val="0"/>
          <w:divBdr>
            <w:top w:val="none" w:sz="0" w:space="0" w:color="auto"/>
            <w:left w:val="none" w:sz="0" w:space="0" w:color="auto"/>
            <w:bottom w:val="none" w:sz="0" w:space="0" w:color="auto"/>
            <w:right w:val="none" w:sz="0" w:space="0" w:color="auto"/>
          </w:divBdr>
        </w:div>
        <w:div w:id="118884152">
          <w:marLeft w:val="0"/>
          <w:marRight w:val="0"/>
          <w:marTop w:val="0"/>
          <w:marBottom w:val="0"/>
          <w:divBdr>
            <w:top w:val="none" w:sz="0" w:space="0" w:color="auto"/>
            <w:left w:val="none" w:sz="0" w:space="0" w:color="auto"/>
            <w:bottom w:val="none" w:sz="0" w:space="0" w:color="auto"/>
            <w:right w:val="none" w:sz="0" w:space="0" w:color="auto"/>
          </w:divBdr>
        </w:div>
        <w:div w:id="66269375">
          <w:marLeft w:val="0"/>
          <w:marRight w:val="0"/>
          <w:marTop w:val="0"/>
          <w:marBottom w:val="0"/>
          <w:divBdr>
            <w:top w:val="none" w:sz="0" w:space="0" w:color="auto"/>
            <w:left w:val="none" w:sz="0" w:space="0" w:color="auto"/>
            <w:bottom w:val="none" w:sz="0" w:space="0" w:color="auto"/>
            <w:right w:val="none" w:sz="0" w:space="0" w:color="auto"/>
          </w:divBdr>
        </w:div>
        <w:div w:id="365449738">
          <w:marLeft w:val="0"/>
          <w:marRight w:val="0"/>
          <w:marTop w:val="0"/>
          <w:marBottom w:val="0"/>
          <w:divBdr>
            <w:top w:val="none" w:sz="0" w:space="0" w:color="auto"/>
            <w:left w:val="none" w:sz="0" w:space="0" w:color="auto"/>
            <w:bottom w:val="none" w:sz="0" w:space="0" w:color="auto"/>
            <w:right w:val="none" w:sz="0" w:space="0" w:color="auto"/>
          </w:divBdr>
        </w:div>
        <w:div w:id="1677221509">
          <w:marLeft w:val="0"/>
          <w:marRight w:val="0"/>
          <w:marTop w:val="0"/>
          <w:marBottom w:val="0"/>
          <w:divBdr>
            <w:top w:val="none" w:sz="0" w:space="0" w:color="auto"/>
            <w:left w:val="none" w:sz="0" w:space="0" w:color="auto"/>
            <w:bottom w:val="none" w:sz="0" w:space="0" w:color="auto"/>
            <w:right w:val="none" w:sz="0" w:space="0" w:color="auto"/>
          </w:divBdr>
        </w:div>
        <w:div w:id="986740941">
          <w:marLeft w:val="0"/>
          <w:marRight w:val="0"/>
          <w:marTop w:val="0"/>
          <w:marBottom w:val="0"/>
          <w:divBdr>
            <w:top w:val="none" w:sz="0" w:space="0" w:color="auto"/>
            <w:left w:val="none" w:sz="0" w:space="0" w:color="auto"/>
            <w:bottom w:val="none" w:sz="0" w:space="0" w:color="auto"/>
            <w:right w:val="none" w:sz="0" w:space="0" w:color="auto"/>
          </w:divBdr>
        </w:div>
        <w:div w:id="1883324475">
          <w:marLeft w:val="0"/>
          <w:marRight w:val="0"/>
          <w:marTop w:val="0"/>
          <w:marBottom w:val="0"/>
          <w:divBdr>
            <w:top w:val="none" w:sz="0" w:space="0" w:color="auto"/>
            <w:left w:val="none" w:sz="0" w:space="0" w:color="auto"/>
            <w:bottom w:val="none" w:sz="0" w:space="0" w:color="auto"/>
            <w:right w:val="none" w:sz="0" w:space="0" w:color="auto"/>
          </w:divBdr>
        </w:div>
        <w:div w:id="723138787">
          <w:marLeft w:val="0"/>
          <w:marRight w:val="0"/>
          <w:marTop w:val="0"/>
          <w:marBottom w:val="0"/>
          <w:divBdr>
            <w:top w:val="none" w:sz="0" w:space="0" w:color="auto"/>
            <w:left w:val="none" w:sz="0" w:space="0" w:color="auto"/>
            <w:bottom w:val="none" w:sz="0" w:space="0" w:color="auto"/>
            <w:right w:val="none" w:sz="0" w:space="0" w:color="auto"/>
          </w:divBdr>
        </w:div>
        <w:div w:id="2070496077">
          <w:marLeft w:val="0"/>
          <w:marRight w:val="0"/>
          <w:marTop w:val="0"/>
          <w:marBottom w:val="0"/>
          <w:divBdr>
            <w:top w:val="none" w:sz="0" w:space="0" w:color="auto"/>
            <w:left w:val="none" w:sz="0" w:space="0" w:color="auto"/>
            <w:bottom w:val="none" w:sz="0" w:space="0" w:color="auto"/>
            <w:right w:val="none" w:sz="0" w:space="0" w:color="auto"/>
          </w:divBdr>
        </w:div>
        <w:div w:id="124005189">
          <w:marLeft w:val="0"/>
          <w:marRight w:val="0"/>
          <w:marTop w:val="0"/>
          <w:marBottom w:val="0"/>
          <w:divBdr>
            <w:top w:val="none" w:sz="0" w:space="0" w:color="auto"/>
            <w:left w:val="none" w:sz="0" w:space="0" w:color="auto"/>
            <w:bottom w:val="none" w:sz="0" w:space="0" w:color="auto"/>
            <w:right w:val="none" w:sz="0" w:space="0" w:color="auto"/>
          </w:divBdr>
        </w:div>
        <w:div w:id="8220228">
          <w:marLeft w:val="0"/>
          <w:marRight w:val="0"/>
          <w:marTop w:val="0"/>
          <w:marBottom w:val="0"/>
          <w:divBdr>
            <w:top w:val="none" w:sz="0" w:space="0" w:color="auto"/>
            <w:left w:val="none" w:sz="0" w:space="0" w:color="auto"/>
            <w:bottom w:val="none" w:sz="0" w:space="0" w:color="auto"/>
            <w:right w:val="none" w:sz="0" w:space="0" w:color="auto"/>
          </w:divBdr>
        </w:div>
        <w:div w:id="1652636605">
          <w:marLeft w:val="0"/>
          <w:marRight w:val="0"/>
          <w:marTop w:val="0"/>
          <w:marBottom w:val="0"/>
          <w:divBdr>
            <w:top w:val="none" w:sz="0" w:space="0" w:color="auto"/>
            <w:left w:val="none" w:sz="0" w:space="0" w:color="auto"/>
            <w:bottom w:val="none" w:sz="0" w:space="0" w:color="auto"/>
            <w:right w:val="none" w:sz="0" w:space="0" w:color="auto"/>
          </w:divBdr>
        </w:div>
        <w:div w:id="1666007611">
          <w:marLeft w:val="0"/>
          <w:marRight w:val="0"/>
          <w:marTop w:val="0"/>
          <w:marBottom w:val="0"/>
          <w:divBdr>
            <w:top w:val="none" w:sz="0" w:space="0" w:color="auto"/>
            <w:left w:val="none" w:sz="0" w:space="0" w:color="auto"/>
            <w:bottom w:val="none" w:sz="0" w:space="0" w:color="auto"/>
            <w:right w:val="none" w:sz="0" w:space="0" w:color="auto"/>
          </w:divBdr>
        </w:div>
        <w:div w:id="3898527">
          <w:marLeft w:val="0"/>
          <w:marRight w:val="0"/>
          <w:marTop w:val="0"/>
          <w:marBottom w:val="0"/>
          <w:divBdr>
            <w:top w:val="none" w:sz="0" w:space="0" w:color="auto"/>
            <w:left w:val="none" w:sz="0" w:space="0" w:color="auto"/>
            <w:bottom w:val="none" w:sz="0" w:space="0" w:color="auto"/>
            <w:right w:val="none" w:sz="0" w:space="0" w:color="auto"/>
          </w:divBdr>
        </w:div>
        <w:div w:id="154609637">
          <w:marLeft w:val="0"/>
          <w:marRight w:val="0"/>
          <w:marTop w:val="0"/>
          <w:marBottom w:val="0"/>
          <w:divBdr>
            <w:top w:val="none" w:sz="0" w:space="0" w:color="auto"/>
            <w:left w:val="none" w:sz="0" w:space="0" w:color="auto"/>
            <w:bottom w:val="none" w:sz="0" w:space="0" w:color="auto"/>
            <w:right w:val="none" w:sz="0" w:space="0" w:color="auto"/>
          </w:divBdr>
        </w:div>
        <w:div w:id="2122648638">
          <w:marLeft w:val="0"/>
          <w:marRight w:val="0"/>
          <w:marTop w:val="0"/>
          <w:marBottom w:val="0"/>
          <w:divBdr>
            <w:top w:val="none" w:sz="0" w:space="0" w:color="auto"/>
            <w:left w:val="none" w:sz="0" w:space="0" w:color="auto"/>
            <w:bottom w:val="none" w:sz="0" w:space="0" w:color="auto"/>
            <w:right w:val="none" w:sz="0" w:space="0" w:color="auto"/>
          </w:divBdr>
        </w:div>
        <w:div w:id="664744342">
          <w:marLeft w:val="0"/>
          <w:marRight w:val="0"/>
          <w:marTop w:val="0"/>
          <w:marBottom w:val="0"/>
          <w:divBdr>
            <w:top w:val="none" w:sz="0" w:space="0" w:color="auto"/>
            <w:left w:val="none" w:sz="0" w:space="0" w:color="auto"/>
            <w:bottom w:val="none" w:sz="0" w:space="0" w:color="auto"/>
            <w:right w:val="none" w:sz="0" w:space="0" w:color="auto"/>
          </w:divBdr>
        </w:div>
        <w:div w:id="1850218176">
          <w:marLeft w:val="0"/>
          <w:marRight w:val="0"/>
          <w:marTop w:val="0"/>
          <w:marBottom w:val="0"/>
          <w:divBdr>
            <w:top w:val="none" w:sz="0" w:space="0" w:color="auto"/>
            <w:left w:val="none" w:sz="0" w:space="0" w:color="auto"/>
            <w:bottom w:val="none" w:sz="0" w:space="0" w:color="auto"/>
            <w:right w:val="none" w:sz="0" w:space="0" w:color="auto"/>
          </w:divBdr>
        </w:div>
        <w:div w:id="1151601569">
          <w:marLeft w:val="0"/>
          <w:marRight w:val="0"/>
          <w:marTop w:val="0"/>
          <w:marBottom w:val="0"/>
          <w:divBdr>
            <w:top w:val="none" w:sz="0" w:space="0" w:color="auto"/>
            <w:left w:val="none" w:sz="0" w:space="0" w:color="auto"/>
            <w:bottom w:val="none" w:sz="0" w:space="0" w:color="auto"/>
            <w:right w:val="none" w:sz="0" w:space="0" w:color="auto"/>
          </w:divBdr>
        </w:div>
        <w:div w:id="505174127">
          <w:marLeft w:val="0"/>
          <w:marRight w:val="0"/>
          <w:marTop w:val="0"/>
          <w:marBottom w:val="0"/>
          <w:divBdr>
            <w:top w:val="none" w:sz="0" w:space="0" w:color="auto"/>
            <w:left w:val="none" w:sz="0" w:space="0" w:color="auto"/>
            <w:bottom w:val="none" w:sz="0" w:space="0" w:color="auto"/>
            <w:right w:val="none" w:sz="0" w:space="0" w:color="auto"/>
          </w:divBdr>
        </w:div>
        <w:div w:id="884291876">
          <w:marLeft w:val="0"/>
          <w:marRight w:val="0"/>
          <w:marTop w:val="0"/>
          <w:marBottom w:val="0"/>
          <w:divBdr>
            <w:top w:val="none" w:sz="0" w:space="0" w:color="auto"/>
            <w:left w:val="none" w:sz="0" w:space="0" w:color="auto"/>
            <w:bottom w:val="none" w:sz="0" w:space="0" w:color="auto"/>
            <w:right w:val="none" w:sz="0" w:space="0" w:color="auto"/>
          </w:divBdr>
        </w:div>
        <w:div w:id="616713618">
          <w:marLeft w:val="0"/>
          <w:marRight w:val="0"/>
          <w:marTop w:val="0"/>
          <w:marBottom w:val="0"/>
          <w:divBdr>
            <w:top w:val="none" w:sz="0" w:space="0" w:color="auto"/>
            <w:left w:val="none" w:sz="0" w:space="0" w:color="auto"/>
            <w:bottom w:val="none" w:sz="0" w:space="0" w:color="auto"/>
            <w:right w:val="none" w:sz="0" w:space="0" w:color="auto"/>
          </w:divBdr>
        </w:div>
        <w:div w:id="117728122">
          <w:marLeft w:val="0"/>
          <w:marRight w:val="0"/>
          <w:marTop w:val="0"/>
          <w:marBottom w:val="0"/>
          <w:divBdr>
            <w:top w:val="none" w:sz="0" w:space="0" w:color="auto"/>
            <w:left w:val="none" w:sz="0" w:space="0" w:color="auto"/>
            <w:bottom w:val="none" w:sz="0" w:space="0" w:color="auto"/>
            <w:right w:val="none" w:sz="0" w:space="0" w:color="auto"/>
          </w:divBdr>
        </w:div>
        <w:div w:id="1453015557">
          <w:marLeft w:val="0"/>
          <w:marRight w:val="0"/>
          <w:marTop w:val="0"/>
          <w:marBottom w:val="0"/>
          <w:divBdr>
            <w:top w:val="none" w:sz="0" w:space="0" w:color="auto"/>
            <w:left w:val="none" w:sz="0" w:space="0" w:color="auto"/>
            <w:bottom w:val="none" w:sz="0" w:space="0" w:color="auto"/>
            <w:right w:val="none" w:sz="0" w:space="0" w:color="auto"/>
          </w:divBdr>
        </w:div>
        <w:div w:id="1181239798">
          <w:marLeft w:val="0"/>
          <w:marRight w:val="0"/>
          <w:marTop w:val="0"/>
          <w:marBottom w:val="0"/>
          <w:divBdr>
            <w:top w:val="none" w:sz="0" w:space="0" w:color="auto"/>
            <w:left w:val="none" w:sz="0" w:space="0" w:color="auto"/>
            <w:bottom w:val="none" w:sz="0" w:space="0" w:color="auto"/>
            <w:right w:val="none" w:sz="0" w:space="0" w:color="auto"/>
          </w:divBdr>
        </w:div>
        <w:div w:id="154272853">
          <w:marLeft w:val="0"/>
          <w:marRight w:val="0"/>
          <w:marTop w:val="0"/>
          <w:marBottom w:val="0"/>
          <w:divBdr>
            <w:top w:val="none" w:sz="0" w:space="0" w:color="auto"/>
            <w:left w:val="none" w:sz="0" w:space="0" w:color="auto"/>
            <w:bottom w:val="none" w:sz="0" w:space="0" w:color="auto"/>
            <w:right w:val="none" w:sz="0" w:space="0" w:color="auto"/>
          </w:divBdr>
        </w:div>
        <w:div w:id="1127163917">
          <w:marLeft w:val="0"/>
          <w:marRight w:val="0"/>
          <w:marTop w:val="0"/>
          <w:marBottom w:val="0"/>
          <w:divBdr>
            <w:top w:val="none" w:sz="0" w:space="0" w:color="auto"/>
            <w:left w:val="none" w:sz="0" w:space="0" w:color="auto"/>
            <w:bottom w:val="none" w:sz="0" w:space="0" w:color="auto"/>
            <w:right w:val="none" w:sz="0" w:space="0" w:color="auto"/>
          </w:divBdr>
        </w:div>
        <w:div w:id="162666737">
          <w:marLeft w:val="0"/>
          <w:marRight w:val="0"/>
          <w:marTop w:val="0"/>
          <w:marBottom w:val="0"/>
          <w:divBdr>
            <w:top w:val="none" w:sz="0" w:space="0" w:color="auto"/>
            <w:left w:val="none" w:sz="0" w:space="0" w:color="auto"/>
            <w:bottom w:val="none" w:sz="0" w:space="0" w:color="auto"/>
            <w:right w:val="none" w:sz="0" w:space="0" w:color="auto"/>
          </w:divBdr>
        </w:div>
        <w:div w:id="1947224563">
          <w:marLeft w:val="0"/>
          <w:marRight w:val="0"/>
          <w:marTop w:val="0"/>
          <w:marBottom w:val="0"/>
          <w:divBdr>
            <w:top w:val="none" w:sz="0" w:space="0" w:color="auto"/>
            <w:left w:val="none" w:sz="0" w:space="0" w:color="auto"/>
            <w:bottom w:val="none" w:sz="0" w:space="0" w:color="auto"/>
            <w:right w:val="none" w:sz="0" w:space="0" w:color="auto"/>
          </w:divBdr>
        </w:div>
        <w:div w:id="2135706932">
          <w:marLeft w:val="0"/>
          <w:marRight w:val="0"/>
          <w:marTop w:val="0"/>
          <w:marBottom w:val="0"/>
          <w:divBdr>
            <w:top w:val="none" w:sz="0" w:space="0" w:color="auto"/>
            <w:left w:val="none" w:sz="0" w:space="0" w:color="auto"/>
            <w:bottom w:val="none" w:sz="0" w:space="0" w:color="auto"/>
            <w:right w:val="none" w:sz="0" w:space="0" w:color="auto"/>
          </w:divBdr>
        </w:div>
        <w:div w:id="1827433473">
          <w:marLeft w:val="0"/>
          <w:marRight w:val="0"/>
          <w:marTop w:val="0"/>
          <w:marBottom w:val="0"/>
          <w:divBdr>
            <w:top w:val="none" w:sz="0" w:space="0" w:color="auto"/>
            <w:left w:val="none" w:sz="0" w:space="0" w:color="auto"/>
            <w:bottom w:val="none" w:sz="0" w:space="0" w:color="auto"/>
            <w:right w:val="none" w:sz="0" w:space="0" w:color="auto"/>
          </w:divBdr>
        </w:div>
        <w:div w:id="465785100">
          <w:marLeft w:val="0"/>
          <w:marRight w:val="0"/>
          <w:marTop w:val="0"/>
          <w:marBottom w:val="0"/>
          <w:divBdr>
            <w:top w:val="none" w:sz="0" w:space="0" w:color="auto"/>
            <w:left w:val="none" w:sz="0" w:space="0" w:color="auto"/>
            <w:bottom w:val="none" w:sz="0" w:space="0" w:color="auto"/>
            <w:right w:val="none" w:sz="0" w:space="0" w:color="auto"/>
          </w:divBdr>
        </w:div>
        <w:div w:id="1273896147">
          <w:marLeft w:val="0"/>
          <w:marRight w:val="0"/>
          <w:marTop w:val="0"/>
          <w:marBottom w:val="0"/>
          <w:divBdr>
            <w:top w:val="none" w:sz="0" w:space="0" w:color="auto"/>
            <w:left w:val="none" w:sz="0" w:space="0" w:color="auto"/>
            <w:bottom w:val="none" w:sz="0" w:space="0" w:color="auto"/>
            <w:right w:val="none" w:sz="0" w:space="0" w:color="auto"/>
          </w:divBdr>
        </w:div>
        <w:div w:id="1242833688">
          <w:marLeft w:val="0"/>
          <w:marRight w:val="0"/>
          <w:marTop w:val="0"/>
          <w:marBottom w:val="0"/>
          <w:divBdr>
            <w:top w:val="none" w:sz="0" w:space="0" w:color="auto"/>
            <w:left w:val="none" w:sz="0" w:space="0" w:color="auto"/>
            <w:bottom w:val="none" w:sz="0" w:space="0" w:color="auto"/>
            <w:right w:val="none" w:sz="0" w:space="0" w:color="auto"/>
          </w:divBdr>
        </w:div>
        <w:div w:id="1457987403">
          <w:marLeft w:val="0"/>
          <w:marRight w:val="0"/>
          <w:marTop w:val="0"/>
          <w:marBottom w:val="0"/>
          <w:divBdr>
            <w:top w:val="none" w:sz="0" w:space="0" w:color="auto"/>
            <w:left w:val="none" w:sz="0" w:space="0" w:color="auto"/>
            <w:bottom w:val="none" w:sz="0" w:space="0" w:color="auto"/>
            <w:right w:val="none" w:sz="0" w:space="0" w:color="auto"/>
          </w:divBdr>
        </w:div>
        <w:div w:id="30541261">
          <w:marLeft w:val="0"/>
          <w:marRight w:val="0"/>
          <w:marTop w:val="0"/>
          <w:marBottom w:val="0"/>
          <w:divBdr>
            <w:top w:val="none" w:sz="0" w:space="0" w:color="auto"/>
            <w:left w:val="none" w:sz="0" w:space="0" w:color="auto"/>
            <w:bottom w:val="none" w:sz="0" w:space="0" w:color="auto"/>
            <w:right w:val="none" w:sz="0" w:space="0" w:color="auto"/>
          </w:divBdr>
        </w:div>
        <w:div w:id="267665916">
          <w:marLeft w:val="0"/>
          <w:marRight w:val="0"/>
          <w:marTop w:val="0"/>
          <w:marBottom w:val="0"/>
          <w:divBdr>
            <w:top w:val="none" w:sz="0" w:space="0" w:color="auto"/>
            <w:left w:val="none" w:sz="0" w:space="0" w:color="auto"/>
            <w:bottom w:val="none" w:sz="0" w:space="0" w:color="auto"/>
            <w:right w:val="none" w:sz="0" w:space="0" w:color="auto"/>
          </w:divBdr>
        </w:div>
        <w:div w:id="1964922495">
          <w:marLeft w:val="0"/>
          <w:marRight w:val="0"/>
          <w:marTop w:val="0"/>
          <w:marBottom w:val="0"/>
          <w:divBdr>
            <w:top w:val="none" w:sz="0" w:space="0" w:color="auto"/>
            <w:left w:val="none" w:sz="0" w:space="0" w:color="auto"/>
            <w:bottom w:val="none" w:sz="0" w:space="0" w:color="auto"/>
            <w:right w:val="none" w:sz="0" w:space="0" w:color="auto"/>
          </w:divBdr>
        </w:div>
        <w:div w:id="1500147687">
          <w:marLeft w:val="0"/>
          <w:marRight w:val="0"/>
          <w:marTop w:val="0"/>
          <w:marBottom w:val="0"/>
          <w:divBdr>
            <w:top w:val="none" w:sz="0" w:space="0" w:color="auto"/>
            <w:left w:val="none" w:sz="0" w:space="0" w:color="auto"/>
            <w:bottom w:val="none" w:sz="0" w:space="0" w:color="auto"/>
            <w:right w:val="none" w:sz="0" w:space="0" w:color="auto"/>
          </w:divBdr>
        </w:div>
        <w:div w:id="215820624">
          <w:marLeft w:val="0"/>
          <w:marRight w:val="0"/>
          <w:marTop w:val="0"/>
          <w:marBottom w:val="0"/>
          <w:divBdr>
            <w:top w:val="none" w:sz="0" w:space="0" w:color="auto"/>
            <w:left w:val="none" w:sz="0" w:space="0" w:color="auto"/>
            <w:bottom w:val="none" w:sz="0" w:space="0" w:color="auto"/>
            <w:right w:val="none" w:sz="0" w:space="0" w:color="auto"/>
          </w:divBdr>
        </w:div>
        <w:div w:id="87626709">
          <w:marLeft w:val="0"/>
          <w:marRight w:val="0"/>
          <w:marTop w:val="0"/>
          <w:marBottom w:val="0"/>
          <w:divBdr>
            <w:top w:val="none" w:sz="0" w:space="0" w:color="auto"/>
            <w:left w:val="none" w:sz="0" w:space="0" w:color="auto"/>
            <w:bottom w:val="none" w:sz="0" w:space="0" w:color="auto"/>
            <w:right w:val="none" w:sz="0" w:space="0" w:color="auto"/>
          </w:divBdr>
        </w:div>
        <w:div w:id="1844584083">
          <w:marLeft w:val="0"/>
          <w:marRight w:val="0"/>
          <w:marTop w:val="0"/>
          <w:marBottom w:val="0"/>
          <w:divBdr>
            <w:top w:val="none" w:sz="0" w:space="0" w:color="auto"/>
            <w:left w:val="none" w:sz="0" w:space="0" w:color="auto"/>
            <w:bottom w:val="none" w:sz="0" w:space="0" w:color="auto"/>
            <w:right w:val="none" w:sz="0" w:space="0" w:color="auto"/>
          </w:divBdr>
        </w:div>
        <w:div w:id="2076540287">
          <w:marLeft w:val="0"/>
          <w:marRight w:val="0"/>
          <w:marTop w:val="0"/>
          <w:marBottom w:val="0"/>
          <w:divBdr>
            <w:top w:val="none" w:sz="0" w:space="0" w:color="auto"/>
            <w:left w:val="none" w:sz="0" w:space="0" w:color="auto"/>
            <w:bottom w:val="none" w:sz="0" w:space="0" w:color="auto"/>
            <w:right w:val="none" w:sz="0" w:space="0" w:color="auto"/>
          </w:divBdr>
        </w:div>
        <w:div w:id="272399276">
          <w:marLeft w:val="0"/>
          <w:marRight w:val="0"/>
          <w:marTop w:val="0"/>
          <w:marBottom w:val="0"/>
          <w:divBdr>
            <w:top w:val="none" w:sz="0" w:space="0" w:color="auto"/>
            <w:left w:val="none" w:sz="0" w:space="0" w:color="auto"/>
            <w:bottom w:val="none" w:sz="0" w:space="0" w:color="auto"/>
            <w:right w:val="none" w:sz="0" w:space="0" w:color="auto"/>
          </w:divBdr>
        </w:div>
        <w:div w:id="686097749">
          <w:marLeft w:val="0"/>
          <w:marRight w:val="0"/>
          <w:marTop w:val="0"/>
          <w:marBottom w:val="0"/>
          <w:divBdr>
            <w:top w:val="none" w:sz="0" w:space="0" w:color="auto"/>
            <w:left w:val="none" w:sz="0" w:space="0" w:color="auto"/>
            <w:bottom w:val="none" w:sz="0" w:space="0" w:color="auto"/>
            <w:right w:val="none" w:sz="0" w:space="0" w:color="auto"/>
          </w:divBdr>
        </w:div>
        <w:div w:id="469639003">
          <w:marLeft w:val="0"/>
          <w:marRight w:val="0"/>
          <w:marTop w:val="0"/>
          <w:marBottom w:val="0"/>
          <w:divBdr>
            <w:top w:val="none" w:sz="0" w:space="0" w:color="auto"/>
            <w:left w:val="none" w:sz="0" w:space="0" w:color="auto"/>
            <w:bottom w:val="none" w:sz="0" w:space="0" w:color="auto"/>
            <w:right w:val="none" w:sz="0" w:space="0" w:color="auto"/>
          </w:divBdr>
        </w:div>
        <w:div w:id="62533804">
          <w:marLeft w:val="0"/>
          <w:marRight w:val="0"/>
          <w:marTop w:val="0"/>
          <w:marBottom w:val="0"/>
          <w:divBdr>
            <w:top w:val="none" w:sz="0" w:space="0" w:color="auto"/>
            <w:left w:val="none" w:sz="0" w:space="0" w:color="auto"/>
            <w:bottom w:val="none" w:sz="0" w:space="0" w:color="auto"/>
            <w:right w:val="none" w:sz="0" w:space="0" w:color="auto"/>
          </w:divBdr>
        </w:div>
        <w:div w:id="1479878119">
          <w:marLeft w:val="0"/>
          <w:marRight w:val="0"/>
          <w:marTop w:val="0"/>
          <w:marBottom w:val="0"/>
          <w:divBdr>
            <w:top w:val="none" w:sz="0" w:space="0" w:color="auto"/>
            <w:left w:val="none" w:sz="0" w:space="0" w:color="auto"/>
            <w:bottom w:val="none" w:sz="0" w:space="0" w:color="auto"/>
            <w:right w:val="none" w:sz="0" w:space="0" w:color="auto"/>
          </w:divBdr>
        </w:div>
        <w:div w:id="849685636">
          <w:marLeft w:val="0"/>
          <w:marRight w:val="0"/>
          <w:marTop w:val="0"/>
          <w:marBottom w:val="0"/>
          <w:divBdr>
            <w:top w:val="none" w:sz="0" w:space="0" w:color="auto"/>
            <w:left w:val="none" w:sz="0" w:space="0" w:color="auto"/>
            <w:bottom w:val="none" w:sz="0" w:space="0" w:color="auto"/>
            <w:right w:val="none" w:sz="0" w:space="0" w:color="auto"/>
          </w:divBdr>
        </w:div>
        <w:div w:id="1596548043">
          <w:marLeft w:val="0"/>
          <w:marRight w:val="0"/>
          <w:marTop w:val="0"/>
          <w:marBottom w:val="0"/>
          <w:divBdr>
            <w:top w:val="none" w:sz="0" w:space="0" w:color="auto"/>
            <w:left w:val="none" w:sz="0" w:space="0" w:color="auto"/>
            <w:bottom w:val="none" w:sz="0" w:space="0" w:color="auto"/>
            <w:right w:val="none" w:sz="0" w:space="0" w:color="auto"/>
          </w:divBdr>
        </w:div>
        <w:div w:id="426534894">
          <w:marLeft w:val="0"/>
          <w:marRight w:val="0"/>
          <w:marTop w:val="0"/>
          <w:marBottom w:val="0"/>
          <w:divBdr>
            <w:top w:val="none" w:sz="0" w:space="0" w:color="auto"/>
            <w:left w:val="none" w:sz="0" w:space="0" w:color="auto"/>
            <w:bottom w:val="none" w:sz="0" w:space="0" w:color="auto"/>
            <w:right w:val="none" w:sz="0" w:space="0" w:color="auto"/>
          </w:divBdr>
        </w:div>
        <w:div w:id="1045564411">
          <w:marLeft w:val="0"/>
          <w:marRight w:val="0"/>
          <w:marTop w:val="0"/>
          <w:marBottom w:val="0"/>
          <w:divBdr>
            <w:top w:val="none" w:sz="0" w:space="0" w:color="auto"/>
            <w:left w:val="none" w:sz="0" w:space="0" w:color="auto"/>
            <w:bottom w:val="none" w:sz="0" w:space="0" w:color="auto"/>
            <w:right w:val="none" w:sz="0" w:space="0" w:color="auto"/>
          </w:divBdr>
        </w:div>
        <w:div w:id="832333394">
          <w:marLeft w:val="0"/>
          <w:marRight w:val="0"/>
          <w:marTop w:val="0"/>
          <w:marBottom w:val="0"/>
          <w:divBdr>
            <w:top w:val="none" w:sz="0" w:space="0" w:color="auto"/>
            <w:left w:val="none" w:sz="0" w:space="0" w:color="auto"/>
            <w:bottom w:val="none" w:sz="0" w:space="0" w:color="auto"/>
            <w:right w:val="none" w:sz="0" w:space="0" w:color="auto"/>
          </w:divBdr>
        </w:div>
        <w:div w:id="158545868">
          <w:marLeft w:val="0"/>
          <w:marRight w:val="0"/>
          <w:marTop w:val="0"/>
          <w:marBottom w:val="0"/>
          <w:divBdr>
            <w:top w:val="none" w:sz="0" w:space="0" w:color="auto"/>
            <w:left w:val="none" w:sz="0" w:space="0" w:color="auto"/>
            <w:bottom w:val="none" w:sz="0" w:space="0" w:color="auto"/>
            <w:right w:val="none" w:sz="0" w:space="0" w:color="auto"/>
          </w:divBdr>
        </w:div>
        <w:div w:id="621419044">
          <w:marLeft w:val="0"/>
          <w:marRight w:val="0"/>
          <w:marTop w:val="0"/>
          <w:marBottom w:val="0"/>
          <w:divBdr>
            <w:top w:val="none" w:sz="0" w:space="0" w:color="auto"/>
            <w:left w:val="none" w:sz="0" w:space="0" w:color="auto"/>
            <w:bottom w:val="none" w:sz="0" w:space="0" w:color="auto"/>
            <w:right w:val="none" w:sz="0" w:space="0" w:color="auto"/>
          </w:divBdr>
        </w:div>
        <w:div w:id="1533570784">
          <w:marLeft w:val="0"/>
          <w:marRight w:val="0"/>
          <w:marTop w:val="0"/>
          <w:marBottom w:val="0"/>
          <w:divBdr>
            <w:top w:val="none" w:sz="0" w:space="0" w:color="auto"/>
            <w:left w:val="none" w:sz="0" w:space="0" w:color="auto"/>
            <w:bottom w:val="none" w:sz="0" w:space="0" w:color="auto"/>
            <w:right w:val="none" w:sz="0" w:space="0" w:color="auto"/>
          </w:divBdr>
        </w:div>
        <w:div w:id="1051198715">
          <w:marLeft w:val="0"/>
          <w:marRight w:val="0"/>
          <w:marTop w:val="0"/>
          <w:marBottom w:val="0"/>
          <w:divBdr>
            <w:top w:val="none" w:sz="0" w:space="0" w:color="auto"/>
            <w:left w:val="none" w:sz="0" w:space="0" w:color="auto"/>
            <w:bottom w:val="none" w:sz="0" w:space="0" w:color="auto"/>
            <w:right w:val="none" w:sz="0" w:space="0" w:color="auto"/>
          </w:divBdr>
        </w:div>
        <w:div w:id="259339281">
          <w:marLeft w:val="0"/>
          <w:marRight w:val="0"/>
          <w:marTop w:val="0"/>
          <w:marBottom w:val="0"/>
          <w:divBdr>
            <w:top w:val="none" w:sz="0" w:space="0" w:color="auto"/>
            <w:left w:val="none" w:sz="0" w:space="0" w:color="auto"/>
            <w:bottom w:val="none" w:sz="0" w:space="0" w:color="auto"/>
            <w:right w:val="none" w:sz="0" w:space="0" w:color="auto"/>
          </w:divBdr>
        </w:div>
        <w:div w:id="392703778">
          <w:marLeft w:val="0"/>
          <w:marRight w:val="0"/>
          <w:marTop w:val="0"/>
          <w:marBottom w:val="0"/>
          <w:divBdr>
            <w:top w:val="none" w:sz="0" w:space="0" w:color="auto"/>
            <w:left w:val="none" w:sz="0" w:space="0" w:color="auto"/>
            <w:bottom w:val="none" w:sz="0" w:space="0" w:color="auto"/>
            <w:right w:val="none" w:sz="0" w:space="0" w:color="auto"/>
          </w:divBdr>
        </w:div>
        <w:div w:id="1017848632">
          <w:marLeft w:val="0"/>
          <w:marRight w:val="0"/>
          <w:marTop w:val="0"/>
          <w:marBottom w:val="0"/>
          <w:divBdr>
            <w:top w:val="none" w:sz="0" w:space="0" w:color="auto"/>
            <w:left w:val="none" w:sz="0" w:space="0" w:color="auto"/>
            <w:bottom w:val="none" w:sz="0" w:space="0" w:color="auto"/>
            <w:right w:val="none" w:sz="0" w:space="0" w:color="auto"/>
          </w:divBdr>
        </w:div>
        <w:div w:id="691418809">
          <w:marLeft w:val="0"/>
          <w:marRight w:val="0"/>
          <w:marTop w:val="0"/>
          <w:marBottom w:val="0"/>
          <w:divBdr>
            <w:top w:val="none" w:sz="0" w:space="0" w:color="auto"/>
            <w:left w:val="none" w:sz="0" w:space="0" w:color="auto"/>
            <w:bottom w:val="none" w:sz="0" w:space="0" w:color="auto"/>
            <w:right w:val="none" w:sz="0" w:space="0" w:color="auto"/>
          </w:divBdr>
        </w:div>
        <w:div w:id="2125923030">
          <w:marLeft w:val="0"/>
          <w:marRight w:val="0"/>
          <w:marTop w:val="0"/>
          <w:marBottom w:val="0"/>
          <w:divBdr>
            <w:top w:val="none" w:sz="0" w:space="0" w:color="auto"/>
            <w:left w:val="none" w:sz="0" w:space="0" w:color="auto"/>
            <w:bottom w:val="none" w:sz="0" w:space="0" w:color="auto"/>
            <w:right w:val="none" w:sz="0" w:space="0" w:color="auto"/>
          </w:divBdr>
        </w:div>
        <w:div w:id="1493253823">
          <w:marLeft w:val="0"/>
          <w:marRight w:val="0"/>
          <w:marTop w:val="0"/>
          <w:marBottom w:val="0"/>
          <w:divBdr>
            <w:top w:val="none" w:sz="0" w:space="0" w:color="auto"/>
            <w:left w:val="none" w:sz="0" w:space="0" w:color="auto"/>
            <w:bottom w:val="none" w:sz="0" w:space="0" w:color="auto"/>
            <w:right w:val="none" w:sz="0" w:space="0" w:color="auto"/>
          </w:divBdr>
        </w:div>
        <w:div w:id="959919214">
          <w:marLeft w:val="0"/>
          <w:marRight w:val="0"/>
          <w:marTop w:val="0"/>
          <w:marBottom w:val="0"/>
          <w:divBdr>
            <w:top w:val="none" w:sz="0" w:space="0" w:color="auto"/>
            <w:left w:val="none" w:sz="0" w:space="0" w:color="auto"/>
            <w:bottom w:val="none" w:sz="0" w:space="0" w:color="auto"/>
            <w:right w:val="none" w:sz="0" w:space="0" w:color="auto"/>
          </w:divBdr>
        </w:div>
        <w:div w:id="1983726910">
          <w:marLeft w:val="0"/>
          <w:marRight w:val="0"/>
          <w:marTop w:val="0"/>
          <w:marBottom w:val="0"/>
          <w:divBdr>
            <w:top w:val="none" w:sz="0" w:space="0" w:color="auto"/>
            <w:left w:val="none" w:sz="0" w:space="0" w:color="auto"/>
            <w:bottom w:val="none" w:sz="0" w:space="0" w:color="auto"/>
            <w:right w:val="none" w:sz="0" w:space="0" w:color="auto"/>
          </w:divBdr>
        </w:div>
        <w:div w:id="69083463">
          <w:marLeft w:val="0"/>
          <w:marRight w:val="0"/>
          <w:marTop w:val="0"/>
          <w:marBottom w:val="0"/>
          <w:divBdr>
            <w:top w:val="none" w:sz="0" w:space="0" w:color="auto"/>
            <w:left w:val="none" w:sz="0" w:space="0" w:color="auto"/>
            <w:bottom w:val="none" w:sz="0" w:space="0" w:color="auto"/>
            <w:right w:val="none" w:sz="0" w:space="0" w:color="auto"/>
          </w:divBdr>
        </w:div>
        <w:div w:id="822233082">
          <w:marLeft w:val="0"/>
          <w:marRight w:val="0"/>
          <w:marTop w:val="0"/>
          <w:marBottom w:val="0"/>
          <w:divBdr>
            <w:top w:val="none" w:sz="0" w:space="0" w:color="auto"/>
            <w:left w:val="none" w:sz="0" w:space="0" w:color="auto"/>
            <w:bottom w:val="none" w:sz="0" w:space="0" w:color="auto"/>
            <w:right w:val="none" w:sz="0" w:space="0" w:color="auto"/>
          </w:divBdr>
        </w:div>
        <w:div w:id="1821993856">
          <w:marLeft w:val="0"/>
          <w:marRight w:val="0"/>
          <w:marTop w:val="0"/>
          <w:marBottom w:val="0"/>
          <w:divBdr>
            <w:top w:val="none" w:sz="0" w:space="0" w:color="auto"/>
            <w:left w:val="none" w:sz="0" w:space="0" w:color="auto"/>
            <w:bottom w:val="none" w:sz="0" w:space="0" w:color="auto"/>
            <w:right w:val="none" w:sz="0" w:space="0" w:color="auto"/>
          </w:divBdr>
        </w:div>
        <w:div w:id="1006595867">
          <w:marLeft w:val="0"/>
          <w:marRight w:val="0"/>
          <w:marTop w:val="0"/>
          <w:marBottom w:val="0"/>
          <w:divBdr>
            <w:top w:val="none" w:sz="0" w:space="0" w:color="auto"/>
            <w:left w:val="none" w:sz="0" w:space="0" w:color="auto"/>
            <w:bottom w:val="none" w:sz="0" w:space="0" w:color="auto"/>
            <w:right w:val="none" w:sz="0" w:space="0" w:color="auto"/>
          </w:divBdr>
        </w:div>
        <w:div w:id="231694699">
          <w:marLeft w:val="0"/>
          <w:marRight w:val="0"/>
          <w:marTop w:val="0"/>
          <w:marBottom w:val="0"/>
          <w:divBdr>
            <w:top w:val="none" w:sz="0" w:space="0" w:color="auto"/>
            <w:left w:val="none" w:sz="0" w:space="0" w:color="auto"/>
            <w:bottom w:val="none" w:sz="0" w:space="0" w:color="auto"/>
            <w:right w:val="none" w:sz="0" w:space="0" w:color="auto"/>
          </w:divBdr>
        </w:div>
        <w:div w:id="2084791366">
          <w:marLeft w:val="0"/>
          <w:marRight w:val="0"/>
          <w:marTop w:val="0"/>
          <w:marBottom w:val="0"/>
          <w:divBdr>
            <w:top w:val="none" w:sz="0" w:space="0" w:color="auto"/>
            <w:left w:val="none" w:sz="0" w:space="0" w:color="auto"/>
            <w:bottom w:val="none" w:sz="0" w:space="0" w:color="auto"/>
            <w:right w:val="none" w:sz="0" w:space="0" w:color="auto"/>
          </w:divBdr>
        </w:div>
        <w:div w:id="127744422">
          <w:marLeft w:val="0"/>
          <w:marRight w:val="0"/>
          <w:marTop w:val="0"/>
          <w:marBottom w:val="0"/>
          <w:divBdr>
            <w:top w:val="none" w:sz="0" w:space="0" w:color="auto"/>
            <w:left w:val="none" w:sz="0" w:space="0" w:color="auto"/>
            <w:bottom w:val="none" w:sz="0" w:space="0" w:color="auto"/>
            <w:right w:val="none" w:sz="0" w:space="0" w:color="auto"/>
          </w:divBdr>
        </w:div>
        <w:div w:id="511528777">
          <w:marLeft w:val="0"/>
          <w:marRight w:val="0"/>
          <w:marTop w:val="0"/>
          <w:marBottom w:val="0"/>
          <w:divBdr>
            <w:top w:val="none" w:sz="0" w:space="0" w:color="auto"/>
            <w:left w:val="none" w:sz="0" w:space="0" w:color="auto"/>
            <w:bottom w:val="none" w:sz="0" w:space="0" w:color="auto"/>
            <w:right w:val="none" w:sz="0" w:space="0" w:color="auto"/>
          </w:divBdr>
        </w:div>
        <w:div w:id="1351252504">
          <w:marLeft w:val="0"/>
          <w:marRight w:val="0"/>
          <w:marTop w:val="0"/>
          <w:marBottom w:val="0"/>
          <w:divBdr>
            <w:top w:val="none" w:sz="0" w:space="0" w:color="auto"/>
            <w:left w:val="none" w:sz="0" w:space="0" w:color="auto"/>
            <w:bottom w:val="none" w:sz="0" w:space="0" w:color="auto"/>
            <w:right w:val="none" w:sz="0" w:space="0" w:color="auto"/>
          </w:divBdr>
        </w:div>
        <w:div w:id="292255100">
          <w:marLeft w:val="0"/>
          <w:marRight w:val="0"/>
          <w:marTop w:val="0"/>
          <w:marBottom w:val="0"/>
          <w:divBdr>
            <w:top w:val="none" w:sz="0" w:space="0" w:color="auto"/>
            <w:left w:val="none" w:sz="0" w:space="0" w:color="auto"/>
            <w:bottom w:val="none" w:sz="0" w:space="0" w:color="auto"/>
            <w:right w:val="none" w:sz="0" w:space="0" w:color="auto"/>
          </w:divBdr>
        </w:div>
        <w:div w:id="1177696999">
          <w:marLeft w:val="0"/>
          <w:marRight w:val="0"/>
          <w:marTop w:val="0"/>
          <w:marBottom w:val="0"/>
          <w:divBdr>
            <w:top w:val="none" w:sz="0" w:space="0" w:color="auto"/>
            <w:left w:val="none" w:sz="0" w:space="0" w:color="auto"/>
            <w:bottom w:val="none" w:sz="0" w:space="0" w:color="auto"/>
            <w:right w:val="none" w:sz="0" w:space="0" w:color="auto"/>
          </w:divBdr>
        </w:div>
        <w:div w:id="1136949805">
          <w:marLeft w:val="0"/>
          <w:marRight w:val="0"/>
          <w:marTop w:val="0"/>
          <w:marBottom w:val="0"/>
          <w:divBdr>
            <w:top w:val="none" w:sz="0" w:space="0" w:color="auto"/>
            <w:left w:val="none" w:sz="0" w:space="0" w:color="auto"/>
            <w:bottom w:val="none" w:sz="0" w:space="0" w:color="auto"/>
            <w:right w:val="none" w:sz="0" w:space="0" w:color="auto"/>
          </w:divBdr>
        </w:div>
        <w:div w:id="1134835045">
          <w:marLeft w:val="0"/>
          <w:marRight w:val="0"/>
          <w:marTop w:val="0"/>
          <w:marBottom w:val="0"/>
          <w:divBdr>
            <w:top w:val="none" w:sz="0" w:space="0" w:color="auto"/>
            <w:left w:val="none" w:sz="0" w:space="0" w:color="auto"/>
            <w:bottom w:val="none" w:sz="0" w:space="0" w:color="auto"/>
            <w:right w:val="none" w:sz="0" w:space="0" w:color="auto"/>
          </w:divBdr>
        </w:div>
        <w:div w:id="2005279488">
          <w:marLeft w:val="0"/>
          <w:marRight w:val="0"/>
          <w:marTop w:val="0"/>
          <w:marBottom w:val="0"/>
          <w:divBdr>
            <w:top w:val="none" w:sz="0" w:space="0" w:color="auto"/>
            <w:left w:val="none" w:sz="0" w:space="0" w:color="auto"/>
            <w:bottom w:val="none" w:sz="0" w:space="0" w:color="auto"/>
            <w:right w:val="none" w:sz="0" w:space="0" w:color="auto"/>
          </w:divBdr>
        </w:div>
        <w:div w:id="955478440">
          <w:marLeft w:val="0"/>
          <w:marRight w:val="0"/>
          <w:marTop w:val="0"/>
          <w:marBottom w:val="0"/>
          <w:divBdr>
            <w:top w:val="none" w:sz="0" w:space="0" w:color="auto"/>
            <w:left w:val="none" w:sz="0" w:space="0" w:color="auto"/>
            <w:bottom w:val="none" w:sz="0" w:space="0" w:color="auto"/>
            <w:right w:val="none" w:sz="0" w:space="0" w:color="auto"/>
          </w:divBdr>
        </w:div>
        <w:div w:id="1552378691">
          <w:marLeft w:val="0"/>
          <w:marRight w:val="0"/>
          <w:marTop w:val="0"/>
          <w:marBottom w:val="0"/>
          <w:divBdr>
            <w:top w:val="none" w:sz="0" w:space="0" w:color="auto"/>
            <w:left w:val="none" w:sz="0" w:space="0" w:color="auto"/>
            <w:bottom w:val="none" w:sz="0" w:space="0" w:color="auto"/>
            <w:right w:val="none" w:sz="0" w:space="0" w:color="auto"/>
          </w:divBdr>
        </w:div>
        <w:div w:id="82578536">
          <w:marLeft w:val="0"/>
          <w:marRight w:val="0"/>
          <w:marTop w:val="0"/>
          <w:marBottom w:val="0"/>
          <w:divBdr>
            <w:top w:val="none" w:sz="0" w:space="0" w:color="auto"/>
            <w:left w:val="none" w:sz="0" w:space="0" w:color="auto"/>
            <w:bottom w:val="none" w:sz="0" w:space="0" w:color="auto"/>
            <w:right w:val="none" w:sz="0" w:space="0" w:color="auto"/>
          </w:divBdr>
        </w:div>
        <w:div w:id="2092697918">
          <w:marLeft w:val="0"/>
          <w:marRight w:val="0"/>
          <w:marTop w:val="0"/>
          <w:marBottom w:val="0"/>
          <w:divBdr>
            <w:top w:val="none" w:sz="0" w:space="0" w:color="auto"/>
            <w:left w:val="none" w:sz="0" w:space="0" w:color="auto"/>
            <w:bottom w:val="none" w:sz="0" w:space="0" w:color="auto"/>
            <w:right w:val="none" w:sz="0" w:space="0" w:color="auto"/>
          </w:divBdr>
        </w:div>
        <w:div w:id="482503148">
          <w:marLeft w:val="0"/>
          <w:marRight w:val="0"/>
          <w:marTop w:val="0"/>
          <w:marBottom w:val="0"/>
          <w:divBdr>
            <w:top w:val="none" w:sz="0" w:space="0" w:color="auto"/>
            <w:left w:val="none" w:sz="0" w:space="0" w:color="auto"/>
            <w:bottom w:val="none" w:sz="0" w:space="0" w:color="auto"/>
            <w:right w:val="none" w:sz="0" w:space="0" w:color="auto"/>
          </w:divBdr>
        </w:div>
        <w:div w:id="480849667">
          <w:marLeft w:val="0"/>
          <w:marRight w:val="0"/>
          <w:marTop w:val="0"/>
          <w:marBottom w:val="0"/>
          <w:divBdr>
            <w:top w:val="none" w:sz="0" w:space="0" w:color="auto"/>
            <w:left w:val="none" w:sz="0" w:space="0" w:color="auto"/>
            <w:bottom w:val="none" w:sz="0" w:space="0" w:color="auto"/>
            <w:right w:val="none" w:sz="0" w:space="0" w:color="auto"/>
          </w:divBdr>
        </w:div>
        <w:div w:id="410733514">
          <w:marLeft w:val="0"/>
          <w:marRight w:val="0"/>
          <w:marTop w:val="0"/>
          <w:marBottom w:val="0"/>
          <w:divBdr>
            <w:top w:val="none" w:sz="0" w:space="0" w:color="auto"/>
            <w:left w:val="none" w:sz="0" w:space="0" w:color="auto"/>
            <w:bottom w:val="none" w:sz="0" w:space="0" w:color="auto"/>
            <w:right w:val="none" w:sz="0" w:space="0" w:color="auto"/>
          </w:divBdr>
        </w:div>
        <w:div w:id="811866895">
          <w:marLeft w:val="0"/>
          <w:marRight w:val="0"/>
          <w:marTop w:val="0"/>
          <w:marBottom w:val="0"/>
          <w:divBdr>
            <w:top w:val="none" w:sz="0" w:space="0" w:color="auto"/>
            <w:left w:val="none" w:sz="0" w:space="0" w:color="auto"/>
            <w:bottom w:val="none" w:sz="0" w:space="0" w:color="auto"/>
            <w:right w:val="none" w:sz="0" w:space="0" w:color="auto"/>
          </w:divBdr>
        </w:div>
        <w:div w:id="491486468">
          <w:marLeft w:val="0"/>
          <w:marRight w:val="0"/>
          <w:marTop w:val="0"/>
          <w:marBottom w:val="0"/>
          <w:divBdr>
            <w:top w:val="none" w:sz="0" w:space="0" w:color="auto"/>
            <w:left w:val="none" w:sz="0" w:space="0" w:color="auto"/>
            <w:bottom w:val="none" w:sz="0" w:space="0" w:color="auto"/>
            <w:right w:val="none" w:sz="0" w:space="0" w:color="auto"/>
          </w:divBdr>
        </w:div>
        <w:div w:id="720909802">
          <w:marLeft w:val="0"/>
          <w:marRight w:val="0"/>
          <w:marTop w:val="0"/>
          <w:marBottom w:val="0"/>
          <w:divBdr>
            <w:top w:val="none" w:sz="0" w:space="0" w:color="auto"/>
            <w:left w:val="none" w:sz="0" w:space="0" w:color="auto"/>
            <w:bottom w:val="none" w:sz="0" w:space="0" w:color="auto"/>
            <w:right w:val="none" w:sz="0" w:space="0" w:color="auto"/>
          </w:divBdr>
        </w:div>
        <w:div w:id="1831604165">
          <w:marLeft w:val="0"/>
          <w:marRight w:val="0"/>
          <w:marTop w:val="0"/>
          <w:marBottom w:val="0"/>
          <w:divBdr>
            <w:top w:val="none" w:sz="0" w:space="0" w:color="auto"/>
            <w:left w:val="none" w:sz="0" w:space="0" w:color="auto"/>
            <w:bottom w:val="none" w:sz="0" w:space="0" w:color="auto"/>
            <w:right w:val="none" w:sz="0" w:space="0" w:color="auto"/>
          </w:divBdr>
        </w:div>
        <w:div w:id="95253750">
          <w:marLeft w:val="0"/>
          <w:marRight w:val="0"/>
          <w:marTop w:val="0"/>
          <w:marBottom w:val="0"/>
          <w:divBdr>
            <w:top w:val="none" w:sz="0" w:space="0" w:color="auto"/>
            <w:left w:val="none" w:sz="0" w:space="0" w:color="auto"/>
            <w:bottom w:val="none" w:sz="0" w:space="0" w:color="auto"/>
            <w:right w:val="none" w:sz="0" w:space="0" w:color="auto"/>
          </w:divBdr>
        </w:div>
        <w:div w:id="591015555">
          <w:marLeft w:val="0"/>
          <w:marRight w:val="0"/>
          <w:marTop w:val="0"/>
          <w:marBottom w:val="0"/>
          <w:divBdr>
            <w:top w:val="none" w:sz="0" w:space="0" w:color="auto"/>
            <w:left w:val="none" w:sz="0" w:space="0" w:color="auto"/>
            <w:bottom w:val="none" w:sz="0" w:space="0" w:color="auto"/>
            <w:right w:val="none" w:sz="0" w:space="0" w:color="auto"/>
          </w:divBdr>
        </w:div>
        <w:div w:id="1763144473">
          <w:marLeft w:val="0"/>
          <w:marRight w:val="0"/>
          <w:marTop w:val="0"/>
          <w:marBottom w:val="0"/>
          <w:divBdr>
            <w:top w:val="none" w:sz="0" w:space="0" w:color="auto"/>
            <w:left w:val="none" w:sz="0" w:space="0" w:color="auto"/>
            <w:bottom w:val="none" w:sz="0" w:space="0" w:color="auto"/>
            <w:right w:val="none" w:sz="0" w:space="0" w:color="auto"/>
          </w:divBdr>
        </w:div>
        <w:div w:id="804196766">
          <w:marLeft w:val="0"/>
          <w:marRight w:val="0"/>
          <w:marTop w:val="0"/>
          <w:marBottom w:val="0"/>
          <w:divBdr>
            <w:top w:val="none" w:sz="0" w:space="0" w:color="auto"/>
            <w:left w:val="none" w:sz="0" w:space="0" w:color="auto"/>
            <w:bottom w:val="none" w:sz="0" w:space="0" w:color="auto"/>
            <w:right w:val="none" w:sz="0" w:space="0" w:color="auto"/>
          </w:divBdr>
        </w:div>
        <w:div w:id="1551109164">
          <w:marLeft w:val="0"/>
          <w:marRight w:val="0"/>
          <w:marTop w:val="0"/>
          <w:marBottom w:val="0"/>
          <w:divBdr>
            <w:top w:val="none" w:sz="0" w:space="0" w:color="auto"/>
            <w:left w:val="none" w:sz="0" w:space="0" w:color="auto"/>
            <w:bottom w:val="none" w:sz="0" w:space="0" w:color="auto"/>
            <w:right w:val="none" w:sz="0" w:space="0" w:color="auto"/>
          </w:divBdr>
        </w:div>
        <w:div w:id="128716619">
          <w:marLeft w:val="0"/>
          <w:marRight w:val="0"/>
          <w:marTop w:val="0"/>
          <w:marBottom w:val="0"/>
          <w:divBdr>
            <w:top w:val="none" w:sz="0" w:space="0" w:color="auto"/>
            <w:left w:val="none" w:sz="0" w:space="0" w:color="auto"/>
            <w:bottom w:val="none" w:sz="0" w:space="0" w:color="auto"/>
            <w:right w:val="none" w:sz="0" w:space="0" w:color="auto"/>
          </w:divBdr>
        </w:div>
        <w:div w:id="893390360">
          <w:marLeft w:val="0"/>
          <w:marRight w:val="0"/>
          <w:marTop w:val="0"/>
          <w:marBottom w:val="0"/>
          <w:divBdr>
            <w:top w:val="none" w:sz="0" w:space="0" w:color="auto"/>
            <w:left w:val="none" w:sz="0" w:space="0" w:color="auto"/>
            <w:bottom w:val="none" w:sz="0" w:space="0" w:color="auto"/>
            <w:right w:val="none" w:sz="0" w:space="0" w:color="auto"/>
          </w:divBdr>
        </w:div>
        <w:div w:id="948044519">
          <w:marLeft w:val="0"/>
          <w:marRight w:val="0"/>
          <w:marTop w:val="0"/>
          <w:marBottom w:val="0"/>
          <w:divBdr>
            <w:top w:val="none" w:sz="0" w:space="0" w:color="auto"/>
            <w:left w:val="none" w:sz="0" w:space="0" w:color="auto"/>
            <w:bottom w:val="none" w:sz="0" w:space="0" w:color="auto"/>
            <w:right w:val="none" w:sz="0" w:space="0" w:color="auto"/>
          </w:divBdr>
        </w:div>
        <w:div w:id="1435398383">
          <w:marLeft w:val="0"/>
          <w:marRight w:val="0"/>
          <w:marTop w:val="0"/>
          <w:marBottom w:val="0"/>
          <w:divBdr>
            <w:top w:val="none" w:sz="0" w:space="0" w:color="auto"/>
            <w:left w:val="none" w:sz="0" w:space="0" w:color="auto"/>
            <w:bottom w:val="none" w:sz="0" w:space="0" w:color="auto"/>
            <w:right w:val="none" w:sz="0" w:space="0" w:color="auto"/>
          </w:divBdr>
        </w:div>
        <w:div w:id="753817182">
          <w:marLeft w:val="0"/>
          <w:marRight w:val="0"/>
          <w:marTop w:val="0"/>
          <w:marBottom w:val="0"/>
          <w:divBdr>
            <w:top w:val="none" w:sz="0" w:space="0" w:color="auto"/>
            <w:left w:val="none" w:sz="0" w:space="0" w:color="auto"/>
            <w:bottom w:val="none" w:sz="0" w:space="0" w:color="auto"/>
            <w:right w:val="none" w:sz="0" w:space="0" w:color="auto"/>
          </w:divBdr>
        </w:div>
        <w:div w:id="26568424">
          <w:marLeft w:val="0"/>
          <w:marRight w:val="0"/>
          <w:marTop w:val="0"/>
          <w:marBottom w:val="0"/>
          <w:divBdr>
            <w:top w:val="none" w:sz="0" w:space="0" w:color="auto"/>
            <w:left w:val="none" w:sz="0" w:space="0" w:color="auto"/>
            <w:bottom w:val="none" w:sz="0" w:space="0" w:color="auto"/>
            <w:right w:val="none" w:sz="0" w:space="0" w:color="auto"/>
          </w:divBdr>
        </w:div>
        <w:div w:id="9526999">
          <w:marLeft w:val="0"/>
          <w:marRight w:val="0"/>
          <w:marTop w:val="0"/>
          <w:marBottom w:val="0"/>
          <w:divBdr>
            <w:top w:val="none" w:sz="0" w:space="0" w:color="auto"/>
            <w:left w:val="none" w:sz="0" w:space="0" w:color="auto"/>
            <w:bottom w:val="none" w:sz="0" w:space="0" w:color="auto"/>
            <w:right w:val="none" w:sz="0" w:space="0" w:color="auto"/>
          </w:divBdr>
        </w:div>
        <w:div w:id="1917861252">
          <w:marLeft w:val="0"/>
          <w:marRight w:val="0"/>
          <w:marTop w:val="0"/>
          <w:marBottom w:val="0"/>
          <w:divBdr>
            <w:top w:val="none" w:sz="0" w:space="0" w:color="auto"/>
            <w:left w:val="none" w:sz="0" w:space="0" w:color="auto"/>
            <w:bottom w:val="none" w:sz="0" w:space="0" w:color="auto"/>
            <w:right w:val="none" w:sz="0" w:space="0" w:color="auto"/>
          </w:divBdr>
        </w:div>
        <w:div w:id="477381273">
          <w:marLeft w:val="0"/>
          <w:marRight w:val="0"/>
          <w:marTop w:val="0"/>
          <w:marBottom w:val="0"/>
          <w:divBdr>
            <w:top w:val="none" w:sz="0" w:space="0" w:color="auto"/>
            <w:left w:val="none" w:sz="0" w:space="0" w:color="auto"/>
            <w:bottom w:val="none" w:sz="0" w:space="0" w:color="auto"/>
            <w:right w:val="none" w:sz="0" w:space="0" w:color="auto"/>
          </w:divBdr>
        </w:div>
        <w:div w:id="2065174767">
          <w:marLeft w:val="0"/>
          <w:marRight w:val="0"/>
          <w:marTop w:val="0"/>
          <w:marBottom w:val="0"/>
          <w:divBdr>
            <w:top w:val="none" w:sz="0" w:space="0" w:color="auto"/>
            <w:left w:val="none" w:sz="0" w:space="0" w:color="auto"/>
            <w:bottom w:val="none" w:sz="0" w:space="0" w:color="auto"/>
            <w:right w:val="none" w:sz="0" w:space="0" w:color="auto"/>
          </w:divBdr>
        </w:div>
        <w:div w:id="976760359">
          <w:marLeft w:val="0"/>
          <w:marRight w:val="0"/>
          <w:marTop w:val="0"/>
          <w:marBottom w:val="0"/>
          <w:divBdr>
            <w:top w:val="none" w:sz="0" w:space="0" w:color="auto"/>
            <w:left w:val="none" w:sz="0" w:space="0" w:color="auto"/>
            <w:bottom w:val="none" w:sz="0" w:space="0" w:color="auto"/>
            <w:right w:val="none" w:sz="0" w:space="0" w:color="auto"/>
          </w:divBdr>
        </w:div>
        <w:div w:id="782268892">
          <w:marLeft w:val="0"/>
          <w:marRight w:val="0"/>
          <w:marTop w:val="0"/>
          <w:marBottom w:val="0"/>
          <w:divBdr>
            <w:top w:val="none" w:sz="0" w:space="0" w:color="auto"/>
            <w:left w:val="none" w:sz="0" w:space="0" w:color="auto"/>
            <w:bottom w:val="none" w:sz="0" w:space="0" w:color="auto"/>
            <w:right w:val="none" w:sz="0" w:space="0" w:color="auto"/>
          </w:divBdr>
        </w:div>
        <w:div w:id="445854313">
          <w:marLeft w:val="0"/>
          <w:marRight w:val="0"/>
          <w:marTop w:val="0"/>
          <w:marBottom w:val="0"/>
          <w:divBdr>
            <w:top w:val="none" w:sz="0" w:space="0" w:color="auto"/>
            <w:left w:val="none" w:sz="0" w:space="0" w:color="auto"/>
            <w:bottom w:val="none" w:sz="0" w:space="0" w:color="auto"/>
            <w:right w:val="none" w:sz="0" w:space="0" w:color="auto"/>
          </w:divBdr>
        </w:div>
        <w:div w:id="1894390984">
          <w:marLeft w:val="0"/>
          <w:marRight w:val="0"/>
          <w:marTop w:val="0"/>
          <w:marBottom w:val="0"/>
          <w:divBdr>
            <w:top w:val="none" w:sz="0" w:space="0" w:color="auto"/>
            <w:left w:val="none" w:sz="0" w:space="0" w:color="auto"/>
            <w:bottom w:val="none" w:sz="0" w:space="0" w:color="auto"/>
            <w:right w:val="none" w:sz="0" w:space="0" w:color="auto"/>
          </w:divBdr>
        </w:div>
      </w:divsChild>
    </w:div>
    <w:div w:id="691035541">
      <w:bodyDiv w:val="1"/>
      <w:marLeft w:val="0"/>
      <w:marRight w:val="0"/>
      <w:marTop w:val="0"/>
      <w:marBottom w:val="0"/>
      <w:divBdr>
        <w:top w:val="none" w:sz="0" w:space="0" w:color="auto"/>
        <w:left w:val="none" w:sz="0" w:space="0" w:color="auto"/>
        <w:bottom w:val="none" w:sz="0" w:space="0" w:color="auto"/>
        <w:right w:val="none" w:sz="0" w:space="0" w:color="auto"/>
      </w:divBdr>
      <w:divsChild>
        <w:div w:id="1847598169">
          <w:marLeft w:val="0"/>
          <w:marRight w:val="0"/>
          <w:marTop w:val="0"/>
          <w:marBottom w:val="0"/>
          <w:divBdr>
            <w:top w:val="none" w:sz="0" w:space="0" w:color="auto"/>
            <w:left w:val="none" w:sz="0" w:space="0" w:color="auto"/>
            <w:bottom w:val="none" w:sz="0" w:space="0" w:color="auto"/>
            <w:right w:val="none" w:sz="0" w:space="0" w:color="auto"/>
          </w:divBdr>
        </w:div>
        <w:div w:id="152723316">
          <w:marLeft w:val="0"/>
          <w:marRight w:val="0"/>
          <w:marTop w:val="0"/>
          <w:marBottom w:val="0"/>
          <w:divBdr>
            <w:top w:val="none" w:sz="0" w:space="0" w:color="auto"/>
            <w:left w:val="none" w:sz="0" w:space="0" w:color="auto"/>
            <w:bottom w:val="none" w:sz="0" w:space="0" w:color="auto"/>
            <w:right w:val="none" w:sz="0" w:space="0" w:color="auto"/>
          </w:divBdr>
        </w:div>
        <w:div w:id="2030135587">
          <w:marLeft w:val="0"/>
          <w:marRight w:val="0"/>
          <w:marTop w:val="0"/>
          <w:marBottom w:val="0"/>
          <w:divBdr>
            <w:top w:val="none" w:sz="0" w:space="0" w:color="auto"/>
            <w:left w:val="none" w:sz="0" w:space="0" w:color="auto"/>
            <w:bottom w:val="none" w:sz="0" w:space="0" w:color="auto"/>
            <w:right w:val="none" w:sz="0" w:space="0" w:color="auto"/>
          </w:divBdr>
        </w:div>
        <w:div w:id="2070222481">
          <w:marLeft w:val="0"/>
          <w:marRight w:val="0"/>
          <w:marTop w:val="0"/>
          <w:marBottom w:val="0"/>
          <w:divBdr>
            <w:top w:val="none" w:sz="0" w:space="0" w:color="auto"/>
            <w:left w:val="none" w:sz="0" w:space="0" w:color="auto"/>
            <w:bottom w:val="none" w:sz="0" w:space="0" w:color="auto"/>
            <w:right w:val="none" w:sz="0" w:space="0" w:color="auto"/>
          </w:divBdr>
        </w:div>
        <w:div w:id="1253510276">
          <w:marLeft w:val="0"/>
          <w:marRight w:val="0"/>
          <w:marTop w:val="0"/>
          <w:marBottom w:val="0"/>
          <w:divBdr>
            <w:top w:val="none" w:sz="0" w:space="0" w:color="auto"/>
            <w:left w:val="none" w:sz="0" w:space="0" w:color="auto"/>
            <w:bottom w:val="none" w:sz="0" w:space="0" w:color="auto"/>
            <w:right w:val="none" w:sz="0" w:space="0" w:color="auto"/>
          </w:divBdr>
        </w:div>
        <w:div w:id="999120941">
          <w:marLeft w:val="0"/>
          <w:marRight w:val="0"/>
          <w:marTop w:val="0"/>
          <w:marBottom w:val="0"/>
          <w:divBdr>
            <w:top w:val="none" w:sz="0" w:space="0" w:color="auto"/>
            <w:left w:val="none" w:sz="0" w:space="0" w:color="auto"/>
            <w:bottom w:val="none" w:sz="0" w:space="0" w:color="auto"/>
            <w:right w:val="none" w:sz="0" w:space="0" w:color="auto"/>
          </w:divBdr>
        </w:div>
        <w:div w:id="810176926">
          <w:marLeft w:val="0"/>
          <w:marRight w:val="0"/>
          <w:marTop w:val="0"/>
          <w:marBottom w:val="0"/>
          <w:divBdr>
            <w:top w:val="none" w:sz="0" w:space="0" w:color="auto"/>
            <w:left w:val="none" w:sz="0" w:space="0" w:color="auto"/>
            <w:bottom w:val="none" w:sz="0" w:space="0" w:color="auto"/>
            <w:right w:val="none" w:sz="0" w:space="0" w:color="auto"/>
          </w:divBdr>
        </w:div>
        <w:div w:id="889414547">
          <w:marLeft w:val="0"/>
          <w:marRight w:val="0"/>
          <w:marTop w:val="0"/>
          <w:marBottom w:val="0"/>
          <w:divBdr>
            <w:top w:val="none" w:sz="0" w:space="0" w:color="auto"/>
            <w:left w:val="none" w:sz="0" w:space="0" w:color="auto"/>
            <w:bottom w:val="none" w:sz="0" w:space="0" w:color="auto"/>
            <w:right w:val="none" w:sz="0" w:space="0" w:color="auto"/>
          </w:divBdr>
        </w:div>
        <w:div w:id="591158758">
          <w:marLeft w:val="0"/>
          <w:marRight w:val="0"/>
          <w:marTop w:val="0"/>
          <w:marBottom w:val="0"/>
          <w:divBdr>
            <w:top w:val="none" w:sz="0" w:space="0" w:color="auto"/>
            <w:left w:val="none" w:sz="0" w:space="0" w:color="auto"/>
            <w:bottom w:val="none" w:sz="0" w:space="0" w:color="auto"/>
            <w:right w:val="none" w:sz="0" w:space="0" w:color="auto"/>
          </w:divBdr>
        </w:div>
        <w:div w:id="1593708999">
          <w:marLeft w:val="0"/>
          <w:marRight w:val="0"/>
          <w:marTop w:val="0"/>
          <w:marBottom w:val="0"/>
          <w:divBdr>
            <w:top w:val="none" w:sz="0" w:space="0" w:color="auto"/>
            <w:left w:val="none" w:sz="0" w:space="0" w:color="auto"/>
            <w:bottom w:val="none" w:sz="0" w:space="0" w:color="auto"/>
            <w:right w:val="none" w:sz="0" w:space="0" w:color="auto"/>
          </w:divBdr>
        </w:div>
        <w:div w:id="458113430">
          <w:marLeft w:val="0"/>
          <w:marRight w:val="0"/>
          <w:marTop w:val="0"/>
          <w:marBottom w:val="0"/>
          <w:divBdr>
            <w:top w:val="none" w:sz="0" w:space="0" w:color="auto"/>
            <w:left w:val="none" w:sz="0" w:space="0" w:color="auto"/>
            <w:bottom w:val="none" w:sz="0" w:space="0" w:color="auto"/>
            <w:right w:val="none" w:sz="0" w:space="0" w:color="auto"/>
          </w:divBdr>
        </w:div>
        <w:div w:id="689914868">
          <w:marLeft w:val="0"/>
          <w:marRight w:val="0"/>
          <w:marTop w:val="0"/>
          <w:marBottom w:val="0"/>
          <w:divBdr>
            <w:top w:val="none" w:sz="0" w:space="0" w:color="auto"/>
            <w:left w:val="none" w:sz="0" w:space="0" w:color="auto"/>
            <w:bottom w:val="none" w:sz="0" w:space="0" w:color="auto"/>
            <w:right w:val="none" w:sz="0" w:space="0" w:color="auto"/>
          </w:divBdr>
        </w:div>
        <w:div w:id="1925530633">
          <w:marLeft w:val="0"/>
          <w:marRight w:val="0"/>
          <w:marTop w:val="0"/>
          <w:marBottom w:val="0"/>
          <w:divBdr>
            <w:top w:val="none" w:sz="0" w:space="0" w:color="auto"/>
            <w:left w:val="none" w:sz="0" w:space="0" w:color="auto"/>
            <w:bottom w:val="none" w:sz="0" w:space="0" w:color="auto"/>
            <w:right w:val="none" w:sz="0" w:space="0" w:color="auto"/>
          </w:divBdr>
        </w:div>
        <w:div w:id="796484513">
          <w:marLeft w:val="0"/>
          <w:marRight w:val="0"/>
          <w:marTop w:val="0"/>
          <w:marBottom w:val="0"/>
          <w:divBdr>
            <w:top w:val="none" w:sz="0" w:space="0" w:color="auto"/>
            <w:left w:val="none" w:sz="0" w:space="0" w:color="auto"/>
            <w:bottom w:val="none" w:sz="0" w:space="0" w:color="auto"/>
            <w:right w:val="none" w:sz="0" w:space="0" w:color="auto"/>
          </w:divBdr>
        </w:div>
        <w:div w:id="804547569">
          <w:marLeft w:val="0"/>
          <w:marRight w:val="0"/>
          <w:marTop w:val="0"/>
          <w:marBottom w:val="0"/>
          <w:divBdr>
            <w:top w:val="none" w:sz="0" w:space="0" w:color="auto"/>
            <w:left w:val="none" w:sz="0" w:space="0" w:color="auto"/>
            <w:bottom w:val="none" w:sz="0" w:space="0" w:color="auto"/>
            <w:right w:val="none" w:sz="0" w:space="0" w:color="auto"/>
          </w:divBdr>
        </w:div>
        <w:div w:id="676465601">
          <w:marLeft w:val="0"/>
          <w:marRight w:val="0"/>
          <w:marTop w:val="0"/>
          <w:marBottom w:val="0"/>
          <w:divBdr>
            <w:top w:val="none" w:sz="0" w:space="0" w:color="auto"/>
            <w:left w:val="none" w:sz="0" w:space="0" w:color="auto"/>
            <w:bottom w:val="none" w:sz="0" w:space="0" w:color="auto"/>
            <w:right w:val="none" w:sz="0" w:space="0" w:color="auto"/>
          </w:divBdr>
        </w:div>
        <w:div w:id="79182557">
          <w:marLeft w:val="0"/>
          <w:marRight w:val="0"/>
          <w:marTop w:val="0"/>
          <w:marBottom w:val="0"/>
          <w:divBdr>
            <w:top w:val="none" w:sz="0" w:space="0" w:color="auto"/>
            <w:left w:val="none" w:sz="0" w:space="0" w:color="auto"/>
            <w:bottom w:val="none" w:sz="0" w:space="0" w:color="auto"/>
            <w:right w:val="none" w:sz="0" w:space="0" w:color="auto"/>
          </w:divBdr>
        </w:div>
        <w:div w:id="1413696482">
          <w:marLeft w:val="0"/>
          <w:marRight w:val="0"/>
          <w:marTop w:val="0"/>
          <w:marBottom w:val="0"/>
          <w:divBdr>
            <w:top w:val="none" w:sz="0" w:space="0" w:color="auto"/>
            <w:left w:val="none" w:sz="0" w:space="0" w:color="auto"/>
            <w:bottom w:val="none" w:sz="0" w:space="0" w:color="auto"/>
            <w:right w:val="none" w:sz="0" w:space="0" w:color="auto"/>
          </w:divBdr>
        </w:div>
        <w:div w:id="965698759">
          <w:marLeft w:val="0"/>
          <w:marRight w:val="0"/>
          <w:marTop w:val="0"/>
          <w:marBottom w:val="0"/>
          <w:divBdr>
            <w:top w:val="none" w:sz="0" w:space="0" w:color="auto"/>
            <w:left w:val="none" w:sz="0" w:space="0" w:color="auto"/>
            <w:bottom w:val="none" w:sz="0" w:space="0" w:color="auto"/>
            <w:right w:val="none" w:sz="0" w:space="0" w:color="auto"/>
          </w:divBdr>
        </w:div>
        <w:div w:id="1183088143">
          <w:marLeft w:val="0"/>
          <w:marRight w:val="0"/>
          <w:marTop w:val="0"/>
          <w:marBottom w:val="0"/>
          <w:divBdr>
            <w:top w:val="none" w:sz="0" w:space="0" w:color="auto"/>
            <w:left w:val="none" w:sz="0" w:space="0" w:color="auto"/>
            <w:bottom w:val="none" w:sz="0" w:space="0" w:color="auto"/>
            <w:right w:val="none" w:sz="0" w:space="0" w:color="auto"/>
          </w:divBdr>
        </w:div>
        <w:div w:id="1023364031">
          <w:marLeft w:val="0"/>
          <w:marRight w:val="0"/>
          <w:marTop w:val="0"/>
          <w:marBottom w:val="0"/>
          <w:divBdr>
            <w:top w:val="none" w:sz="0" w:space="0" w:color="auto"/>
            <w:left w:val="none" w:sz="0" w:space="0" w:color="auto"/>
            <w:bottom w:val="none" w:sz="0" w:space="0" w:color="auto"/>
            <w:right w:val="none" w:sz="0" w:space="0" w:color="auto"/>
          </w:divBdr>
        </w:div>
        <w:div w:id="231235425">
          <w:marLeft w:val="0"/>
          <w:marRight w:val="0"/>
          <w:marTop w:val="0"/>
          <w:marBottom w:val="0"/>
          <w:divBdr>
            <w:top w:val="none" w:sz="0" w:space="0" w:color="auto"/>
            <w:left w:val="none" w:sz="0" w:space="0" w:color="auto"/>
            <w:bottom w:val="none" w:sz="0" w:space="0" w:color="auto"/>
            <w:right w:val="none" w:sz="0" w:space="0" w:color="auto"/>
          </w:divBdr>
        </w:div>
        <w:div w:id="925655904">
          <w:marLeft w:val="0"/>
          <w:marRight w:val="0"/>
          <w:marTop w:val="0"/>
          <w:marBottom w:val="0"/>
          <w:divBdr>
            <w:top w:val="none" w:sz="0" w:space="0" w:color="auto"/>
            <w:left w:val="none" w:sz="0" w:space="0" w:color="auto"/>
            <w:bottom w:val="none" w:sz="0" w:space="0" w:color="auto"/>
            <w:right w:val="none" w:sz="0" w:space="0" w:color="auto"/>
          </w:divBdr>
        </w:div>
        <w:div w:id="258949580">
          <w:marLeft w:val="0"/>
          <w:marRight w:val="0"/>
          <w:marTop w:val="0"/>
          <w:marBottom w:val="0"/>
          <w:divBdr>
            <w:top w:val="none" w:sz="0" w:space="0" w:color="auto"/>
            <w:left w:val="none" w:sz="0" w:space="0" w:color="auto"/>
            <w:bottom w:val="none" w:sz="0" w:space="0" w:color="auto"/>
            <w:right w:val="none" w:sz="0" w:space="0" w:color="auto"/>
          </w:divBdr>
        </w:div>
        <w:div w:id="1469280280">
          <w:marLeft w:val="0"/>
          <w:marRight w:val="0"/>
          <w:marTop w:val="0"/>
          <w:marBottom w:val="0"/>
          <w:divBdr>
            <w:top w:val="none" w:sz="0" w:space="0" w:color="auto"/>
            <w:left w:val="none" w:sz="0" w:space="0" w:color="auto"/>
            <w:bottom w:val="none" w:sz="0" w:space="0" w:color="auto"/>
            <w:right w:val="none" w:sz="0" w:space="0" w:color="auto"/>
          </w:divBdr>
        </w:div>
        <w:div w:id="1764915779">
          <w:marLeft w:val="0"/>
          <w:marRight w:val="0"/>
          <w:marTop w:val="0"/>
          <w:marBottom w:val="0"/>
          <w:divBdr>
            <w:top w:val="none" w:sz="0" w:space="0" w:color="auto"/>
            <w:left w:val="none" w:sz="0" w:space="0" w:color="auto"/>
            <w:bottom w:val="none" w:sz="0" w:space="0" w:color="auto"/>
            <w:right w:val="none" w:sz="0" w:space="0" w:color="auto"/>
          </w:divBdr>
        </w:div>
        <w:div w:id="2086225375">
          <w:marLeft w:val="0"/>
          <w:marRight w:val="0"/>
          <w:marTop w:val="0"/>
          <w:marBottom w:val="0"/>
          <w:divBdr>
            <w:top w:val="none" w:sz="0" w:space="0" w:color="auto"/>
            <w:left w:val="none" w:sz="0" w:space="0" w:color="auto"/>
            <w:bottom w:val="none" w:sz="0" w:space="0" w:color="auto"/>
            <w:right w:val="none" w:sz="0" w:space="0" w:color="auto"/>
          </w:divBdr>
        </w:div>
        <w:div w:id="508568617">
          <w:marLeft w:val="0"/>
          <w:marRight w:val="0"/>
          <w:marTop w:val="0"/>
          <w:marBottom w:val="0"/>
          <w:divBdr>
            <w:top w:val="none" w:sz="0" w:space="0" w:color="auto"/>
            <w:left w:val="none" w:sz="0" w:space="0" w:color="auto"/>
            <w:bottom w:val="none" w:sz="0" w:space="0" w:color="auto"/>
            <w:right w:val="none" w:sz="0" w:space="0" w:color="auto"/>
          </w:divBdr>
        </w:div>
        <w:div w:id="1378555122">
          <w:marLeft w:val="0"/>
          <w:marRight w:val="0"/>
          <w:marTop w:val="0"/>
          <w:marBottom w:val="0"/>
          <w:divBdr>
            <w:top w:val="none" w:sz="0" w:space="0" w:color="auto"/>
            <w:left w:val="none" w:sz="0" w:space="0" w:color="auto"/>
            <w:bottom w:val="none" w:sz="0" w:space="0" w:color="auto"/>
            <w:right w:val="none" w:sz="0" w:space="0" w:color="auto"/>
          </w:divBdr>
        </w:div>
        <w:div w:id="193425639">
          <w:marLeft w:val="0"/>
          <w:marRight w:val="0"/>
          <w:marTop w:val="0"/>
          <w:marBottom w:val="0"/>
          <w:divBdr>
            <w:top w:val="none" w:sz="0" w:space="0" w:color="auto"/>
            <w:left w:val="none" w:sz="0" w:space="0" w:color="auto"/>
            <w:bottom w:val="none" w:sz="0" w:space="0" w:color="auto"/>
            <w:right w:val="none" w:sz="0" w:space="0" w:color="auto"/>
          </w:divBdr>
        </w:div>
        <w:div w:id="1975715538">
          <w:marLeft w:val="0"/>
          <w:marRight w:val="0"/>
          <w:marTop w:val="0"/>
          <w:marBottom w:val="0"/>
          <w:divBdr>
            <w:top w:val="none" w:sz="0" w:space="0" w:color="auto"/>
            <w:left w:val="none" w:sz="0" w:space="0" w:color="auto"/>
            <w:bottom w:val="none" w:sz="0" w:space="0" w:color="auto"/>
            <w:right w:val="none" w:sz="0" w:space="0" w:color="auto"/>
          </w:divBdr>
        </w:div>
        <w:div w:id="762920863">
          <w:marLeft w:val="0"/>
          <w:marRight w:val="0"/>
          <w:marTop w:val="0"/>
          <w:marBottom w:val="0"/>
          <w:divBdr>
            <w:top w:val="none" w:sz="0" w:space="0" w:color="auto"/>
            <w:left w:val="none" w:sz="0" w:space="0" w:color="auto"/>
            <w:bottom w:val="none" w:sz="0" w:space="0" w:color="auto"/>
            <w:right w:val="none" w:sz="0" w:space="0" w:color="auto"/>
          </w:divBdr>
        </w:div>
        <w:div w:id="1310015982">
          <w:marLeft w:val="0"/>
          <w:marRight w:val="0"/>
          <w:marTop w:val="0"/>
          <w:marBottom w:val="0"/>
          <w:divBdr>
            <w:top w:val="none" w:sz="0" w:space="0" w:color="auto"/>
            <w:left w:val="none" w:sz="0" w:space="0" w:color="auto"/>
            <w:bottom w:val="none" w:sz="0" w:space="0" w:color="auto"/>
            <w:right w:val="none" w:sz="0" w:space="0" w:color="auto"/>
          </w:divBdr>
        </w:div>
        <w:div w:id="1969628438">
          <w:marLeft w:val="0"/>
          <w:marRight w:val="0"/>
          <w:marTop w:val="0"/>
          <w:marBottom w:val="0"/>
          <w:divBdr>
            <w:top w:val="none" w:sz="0" w:space="0" w:color="auto"/>
            <w:left w:val="none" w:sz="0" w:space="0" w:color="auto"/>
            <w:bottom w:val="none" w:sz="0" w:space="0" w:color="auto"/>
            <w:right w:val="none" w:sz="0" w:space="0" w:color="auto"/>
          </w:divBdr>
        </w:div>
        <w:div w:id="1346438619">
          <w:marLeft w:val="0"/>
          <w:marRight w:val="0"/>
          <w:marTop w:val="0"/>
          <w:marBottom w:val="0"/>
          <w:divBdr>
            <w:top w:val="none" w:sz="0" w:space="0" w:color="auto"/>
            <w:left w:val="none" w:sz="0" w:space="0" w:color="auto"/>
            <w:bottom w:val="none" w:sz="0" w:space="0" w:color="auto"/>
            <w:right w:val="none" w:sz="0" w:space="0" w:color="auto"/>
          </w:divBdr>
        </w:div>
        <w:div w:id="991253913">
          <w:marLeft w:val="0"/>
          <w:marRight w:val="0"/>
          <w:marTop w:val="0"/>
          <w:marBottom w:val="0"/>
          <w:divBdr>
            <w:top w:val="none" w:sz="0" w:space="0" w:color="auto"/>
            <w:left w:val="none" w:sz="0" w:space="0" w:color="auto"/>
            <w:bottom w:val="none" w:sz="0" w:space="0" w:color="auto"/>
            <w:right w:val="none" w:sz="0" w:space="0" w:color="auto"/>
          </w:divBdr>
        </w:div>
        <w:div w:id="2014063030">
          <w:marLeft w:val="0"/>
          <w:marRight w:val="0"/>
          <w:marTop w:val="0"/>
          <w:marBottom w:val="0"/>
          <w:divBdr>
            <w:top w:val="none" w:sz="0" w:space="0" w:color="auto"/>
            <w:left w:val="none" w:sz="0" w:space="0" w:color="auto"/>
            <w:bottom w:val="none" w:sz="0" w:space="0" w:color="auto"/>
            <w:right w:val="none" w:sz="0" w:space="0" w:color="auto"/>
          </w:divBdr>
        </w:div>
        <w:div w:id="1361860422">
          <w:marLeft w:val="0"/>
          <w:marRight w:val="0"/>
          <w:marTop w:val="0"/>
          <w:marBottom w:val="0"/>
          <w:divBdr>
            <w:top w:val="none" w:sz="0" w:space="0" w:color="auto"/>
            <w:left w:val="none" w:sz="0" w:space="0" w:color="auto"/>
            <w:bottom w:val="none" w:sz="0" w:space="0" w:color="auto"/>
            <w:right w:val="none" w:sz="0" w:space="0" w:color="auto"/>
          </w:divBdr>
        </w:div>
        <w:div w:id="862939248">
          <w:marLeft w:val="0"/>
          <w:marRight w:val="0"/>
          <w:marTop w:val="0"/>
          <w:marBottom w:val="0"/>
          <w:divBdr>
            <w:top w:val="none" w:sz="0" w:space="0" w:color="auto"/>
            <w:left w:val="none" w:sz="0" w:space="0" w:color="auto"/>
            <w:bottom w:val="none" w:sz="0" w:space="0" w:color="auto"/>
            <w:right w:val="none" w:sz="0" w:space="0" w:color="auto"/>
          </w:divBdr>
        </w:div>
        <w:div w:id="1024864114">
          <w:marLeft w:val="0"/>
          <w:marRight w:val="0"/>
          <w:marTop w:val="0"/>
          <w:marBottom w:val="0"/>
          <w:divBdr>
            <w:top w:val="none" w:sz="0" w:space="0" w:color="auto"/>
            <w:left w:val="none" w:sz="0" w:space="0" w:color="auto"/>
            <w:bottom w:val="none" w:sz="0" w:space="0" w:color="auto"/>
            <w:right w:val="none" w:sz="0" w:space="0" w:color="auto"/>
          </w:divBdr>
        </w:div>
        <w:div w:id="845367857">
          <w:marLeft w:val="0"/>
          <w:marRight w:val="0"/>
          <w:marTop w:val="0"/>
          <w:marBottom w:val="0"/>
          <w:divBdr>
            <w:top w:val="none" w:sz="0" w:space="0" w:color="auto"/>
            <w:left w:val="none" w:sz="0" w:space="0" w:color="auto"/>
            <w:bottom w:val="none" w:sz="0" w:space="0" w:color="auto"/>
            <w:right w:val="none" w:sz="0" w:space="0" w:color="auto"/>
          </w:divBdr>
        </w:div>
        <w:div w:id="1289626143">
          <w:marLeft w:val="0"/>
          <w:marRight w:val="0"/>
          <w:marTop w:val="0"/>
          <w:marBottom w:val="0"/>
          <w:divBdr>
            <w:top w:val="none" w:sz="0" w:space="0" w:color="auto"/>
            <w:left w:val="none" w:sz="0" w:space="0" w:color="auto"/>
            <w:bottom w:val="none" w:sz="0" w:space="0" w:color="auto"/>
            <w:right w:val="none" w:sz="0" w:space="0" w:color="auto"/>
          </w:divBdr>
        </w:div>
        <w:div w:id="324746870">
          <w:marLeft w:val="0"/>
          <w:marRight w:val="0"/>
          <w:marTop w:val="0"/>
          <w:marBottom w:val="0"/>
          <w:divBdr>
            <w:top w:val="none" w:sz="0" w:space="0" w:color="auto"/>
            <w:left w:val="none" w:sz="0" w:space="0" w:color="auto"/>
            <w:bottom w:val="none" w:sz="0" w:space="0" w:color="auto"/>
            <w:right w:val="none" w:sz="0" w:space="0" w:color="auto"/>
          </w:divBdr>
        </w:div>
        <w:div w:id="1482306105">
          <w:marLeft w:val="0"/>
          <w:marRight w:val="0"/>
          <w:marTop w:val="0"/>
          <w:marBottom w:val="0"/>
          <w:divBdr>
            <w:top w:val="none" w:sz="0" w:space="0" w:color="auto"/>
            <w:left w:val="none" w:sz="0" w:space="0" w:color="auto"/>
            <w:bottom w:val="none" w:sz="0" w:space="0" w:color="auto"/>
            <w:right w:val="none" w:sz="0" w:space="0" w:color="auto"/>
          </w:divBdr>
        </w:div>
        <w:div w:id="1426801470">
          <w:marLeft w:val="0"/>
          <w:marRight w:val="0"/>
          <w:marTop w:val="0"/>
          <w:marBottom w:val="0"/>
          <w:divBdr>
            <w:top w:val="none" w:sz="0" w:space="0" w:color="auto"/>
            <w:left w:val="none" w:sz="0" w:space="0" w:color="auto"/>
            <w:bottom w:val="none" w:sz="0" w:space="0" w:color="auto"/>
            <w:right w:val="none" w:sz="0" w:space="0" w:color="auto"/>
          </w:divBdr>
        </w:div>
        <w:div w:id="1079133172">
          <w:marLeft w:val="0"/>
          <w:marRight w:val="0"/>
          <w:marTop w:val="0"/>
          <w:marBottom w:val="0"/>
          <w:divBdr>
            <w:top w:val="none" w:sz="0" w:space="0" w:color="auto"/>
            <w:left w:val="none" w:sz="0" w:space="0" w:color="auto"/>
            <w:bottom w:val="none" w:sz="0" w:space="0" w:color="auto"/>
            <w:right w:val="none" w:sz="0" w:space="0" w:color="auto"/>
          </w:divBdr>
        </w:div>
        <w:div w:id="34549728">
          <w:marLeft w:val="0"/>
          <w:marRight w:val="0"/>
          <w:marTop w:val="0"/>
          <w:marBottom w:val="0"/>
          <w:divBdr>
            <w:top w:val="none" w:sz="0" w:space="0" w:color="auto"/>
            <w:left w:val="none" w:sz="0" w:space="0" w:color="auto"/>
            <w:bottom w:val="none" w:sz="0" w:space="0" w:color="auto"/>
            <w:right w:val="none" w:sz="0" w:space="0" w:color="auto"/>
          </w:divBdr>
        </w:div>
        <w:div w:id="898396190">
          <w:marLeft w:val="0"/>
          <w:marRight w:val="0"/>
          <w:marTop w:val="0"/>
          <w:marBottom w:val="0"/>
          <w:divBdr>
            <w:top w:val="none" w:sz="0" w:space="0" w:color="auto"/>
            <w:left w:val="none" w:sz="0" w:space="0" w:color="auto"/>
            <w:bottom w:val="none" w:sz="0" w:space="0" w:color="auto"/>
            <w:right w:val="none" w:sz="0" w:space="0" w:color="auto"/>
          </w:divBdr>
        </w:div>
        <w:div w:id="1311908353">
          <w:marLeft w:val="0"/>
          <w:marRight w:val="0"/>
          <w:marTop w:val="0"/>
          <w:marBottom w:val="0"/>
          <w:divBdr>
            <w:top w:val="none" w:sz="0" w:space="0" w:color="auto"/>
            <w:left w:val="none" w:sz="0" w:space="0" w:color="auto"/>
            <w:bottom w:val="none" w:sz="0" w:space="0" w:color="auto"/>
            <w:right w:val="none" w:sz="0" w:space="0" w:color="auto"/>
          </w:divBdr>
        </w:div>
        <w:div w:id="167717395">
          <w:marLeft w:val="0"/>
          <w:marRight w:val="0"/>
          <w:marTop w:val="0"/>
          <w:marBottom w:val="0"/>
          <w:divBdr>
            <w:top w:val="none" w:sz="0" w:space="0" w:color="auto"/>
            <w:left w:val="none" w:sz="0" w:space="0" w:color="auto"/>
            <w:bottom w:val="none" w:sz="0" w:space="0" w:color="auto"/>
            <w:right w:val="none" w:sz="0" w:space="0" w:color="auto"/>
          </w:divBdr>
        </w:div>
        <w:div w:id="955865854">
          <w:marLeft w:val="0"/>
          <w:marRight w:val="0"/>
          <w:marTop w:val="0"/>
          <w:marBottom w:val="0"/>
          <w:divBdr>
            <w:top w:val="none" w:sz="0" w:space="0" w:color="auto"/>
            <w:left w:val="none" w:sz="0" w:space="0" w:color="auto"/>
            <w:bottom w:val="none" w:sz="0" w:space="0" w:color="auto"/>
            <w:right w:val="none" w:sz="0" w:space="0" w:color="auto"/>
          </w:divBdr>
        </w:div>
        <w:div w:id="1718122790">
          <w:marLeft w:val="0"/>
          <w:marRight w:val="0"/>
          <w:marTop w:val="0"/>
          <w:marBottom w:val="0"/>
          <w:divBdr>
            <w:top w:val="none" w:sz="0" w:space="0" w:color="auto"/>
            <w:left w:val="none" w:sz="0" w:space="0" w:color="auto"/>
            <w:bottom w:val="none" w:sz="0" w:space="0" w:color="auto"/>
            <w:right w:val="none" w:sz="0" w:space="0" w:color="auto"/>
          </w:divBdr>
        </w:div>
        <w:div w:id="1539270824">
          <w:marLeft w:val="0"/>
          <w:marRight w:val="0"/>
          <w:marTop w:val="0"/>
          <w:marBottom w:val="0"/>
          <w:divBdr>
            <w:top w:val="none" w:sz="0" w:space="0" w:color="auto"/>
            <w:left w:val="none" w:sz="0" w:space="0" w:color="auto"/>
            <w:bottom w:val="none" w:sz="0" w:space="0" w:color="auto"/>
            <w:right w:val="none" w:sz="0" w:space="0" w:color="auto"/>
          </w:divBdr>
        </w:div>
        <w:div w:id="711463045">
          <w:marLeft w:val="0"/>
          <w:marRight w:val="0"/>
          <w:marTop w:val="0"/>
          <w:marBottom w:val="0"/>
          <w:divBdr>
            <w:top w:val="none" w:sz="0" w:space="0" w:color="auto"/>
            <w:left w:val="none" w:sz="0" w:space="0" w:color="auto"/>
            <w:bottom w:val="none" w:sz="0" w:space="0" w:color="auto"/>
            <w:right w:val="none" w:sz="0" w:space="0" w:color="auto"/>
          </w:divBdr>
        </w:div>
        <w:div w:id="1447624882">
          <w:marLeft w:val="0"/>
          <w:marRight w:val="0"/>
          <w:marTop w:val="0"/>
          <w:marBottom w:val="0"/>
          <w:divBdr>
            <w:top w:val="none" w:sz="0" w:space="0" w:color="auto"/>
            <w:left w:val="none" w:sz="0" w:space="0" w:color="auto"/>
            <w:bottom w:val="none" w:sz="0" w:space="0" w:color="auto"/>
            <w:right w:val="none" w:sz="0" w:space="0" w:color="auto"/>
          </w:divBdr>
        </w:div>
        <w:div w:id="1086071161">
          <w:marLeft w:val="0"/>
          <w:marRight w:val="0"/>
          <w:marTop w:val="0"/>
          <w:marBottom w:val="0"/>
          <w:divBdr>
            <w:top w:val="none" w:sz="0" w:space="0" w:color="auto"/>
            <w:left w:val="none" w:sz="0" w:space="0" w:color="auto"/>
            <w:bottom w:val="none" w:sz="0" w:space="0" w:color="auto"/>
            <w:right w:val="none" w:sz="0" w:space="0" w:color="auto"/>
          </w:divBdr>
        </w:div>
        <w:div w:id="597448575">
          <w:marLeft w:val="0"/>
          <w:marRight w:val="0"/>
          <w:marTop w:val="0"/>
          <w:marBottom w:val="0"/>
          <w:divBdr>
            <w:top w:val="none" w:sz="0" w:space="0" w:color="auto"/>
            <w:left w:val="none" w:sz="0" w:space="0" w:color="auto"/>
            <w:bottom w:val="none" w:sz="0" w:space="0" w:color="auto"/>
            <w:right w:val="none" w:sz="0" w:space="0" w:color="auto"/>
          </w:divBdr>
        </w:div>
        <w:div w:id="1085492959">
          <w:marLeft w:val="0"/>
          <w:marRight w:val="0"/>
          <w:marTop w:val="0"/>
          <w:marBottom w:val="0"/>
          <w:divBdr>
            <w:top w:val="none" w:sz="0" w:space="0" w:color="auto"/>
            <w:left w:val="none" w:sz="0" w:space="0" w:color="auto"/>
            <w:bottom w:val="none" w:sz="0" w:space="0" w:color="auto"/>
            <w:right w:val="none" w:sz="0" w:space="0" w:color="auto"/>
          </w:divBdr>
        </w:div>
        <w:div w:id="1752040316">
          <w:marLeft w:val="0"/>
          <w:marRight w:val="0"/>
          <w:marTop w:val="0"/>
          <w:marBottom w:val="0"/>
          <w:divBdr>
            <w:top w:val="none" w:sz="0" w:space="0" w:color="auto"/>
            <w:left w:val="none" w:sz="0" w:space="0" w:color="auto"/>
            <w:bottom w:val="none" w:sz="0" w:space="0" w:color="auto"/>
            <w:right w:val="none" w:sz="0" w:space="0" w:color="auto"/>
          </w:divBdr>
        </w:div>
        <w:div w:id="691342518">
          <w:marLeft w:val="0"/>
          <w:marRight w:val="0"/>
          <w:marTop w:val="0"/>
          <w:marBottom w:val="0"/>
          <w:divBdr>
            <w:top w:val="none" w:sz="0" w:space="0" w:color="auto"/>
            <w:left w:val="none" w:sz="0" w:space="0" w:color="auto"/>
            <w:bottom w:val="none" w:sz="0" w:space="0" w:color="auto"/>
            <w:right w:val="none" w:sz="0" w:space="0" w:color="auto"/>
          </w:divBdr>
        </w:div>
        <w:div w:id="508832862">
          <w:marLeft w:val="0"/>
          <w:marRight w:val="0"/>
          <w:marTop w:val="0"/>
          <w:marBottom w:val="0"/>
          <w:divBdr>
            <w:top w:val="none" w:sz="0" w:space="0" w:color="auto"/>
            <w:left w:val="none" w:sz="0" w:space="0" w:color="auto"/>
            <w:bottom w:val="none" w:sz="0" w:space="0" w:color="auto"/>
            <w:right w:val="none" w:sz="0" w:space="0" w:color="auto"/>
          </w:divBdr>
        </w:div>
        <w:div w:id="539518381">
          <w:marLeft w:val="0"/>
          <w:marRight w:val="0"/>
          <w:marTop w:val="0"/>
          <w:marBottom w:val="0"/>
          <w:divBdr>
            <w:top w:val="none" w:sz="0" w:space="0" w:color="auto"/>
            <w:left w:val="none" w:sz="0" w:space="0" w:color="auto"/>
            <w:bottom w:val="none" w:sz="0" w:space="0" w:color="auto"/>
            <w:right w:val="none" w:sz="0" w:space="0" w:color="auto"/>
          </w:divBdr>
        </w:div>
        <w:div w:id="1422677378">
          <w:marLeft w:val="0"/>
          <w:marRight w:val="0"/>
          <w:marTop w:val="0"/>
          <w:marBottom w:val="0"/>
          <w:divBdr>
            <w:top w:val="none" w:sz="0" w:space="0" w:color="auto"/>
            <w:left w:val="none" w:sz="0" w:space="0" w:color="auto"/>
            <w:bottom w:val="none" w:sz="0" w:space="0" w:color="auto"/>
            <w:right w:val="none" w:sz="0" w:space="0" w:color="auto"/>
          </w:divBdr>
        </w:div>
        <w:div w:id="1788114893">
          <w:marLeft w:val="0"/>
          <w:marRight w:val="0"/>
          <w:marTop w:val="0"/>
          <w:marBottom w:val="0"/>
          <w:divBdr>
            <w:top w:val="none" w:sz="0" w:space="0" w:color="auto"/>
            <w:left w:val="none" w:sz="0" w:space="0" w:color="auto"/>
            <w:bottom w:val="none" w:sz="0" w:space="0" w:color="auto"/>
            <w:right w:val="none" w:sz="0" w:space="0" w:color="auto"/>
          </w:divBdr>
        </w:div>
        <w:div w:id="436561441">
          <w:marLeft w:val="0"/>
          <w:marRight w:val="0"/>
          <w:marTop w:val="0"/>
          <w:marBottom w:val="0"/>
          <w:divBdr>
            <w:top w:val="none" w:sz="0" w:space="0" w:color="auto"/>
            <w:left w:val="none" w:sz="0" w:space="0" w:color="auto"/>
            <w:bottom w:val="none" w:sz="0" w:space="0" w:color="auto"/>
            <w:right w:val="none" w:sz="0" w:space="0" w:color="auto"/>
          </w:divBdr>
        </w:div>
        <w:div w:id="532352951">
          <w:marLeft w:val="0"/>
          <w:marRight w:val="0"/>
          <w:marTop w:val="0"/>
          <w:marBottom w:val="0"/>
          <w:divBdr>
            <w:top w:val="none" w:sz="0" w:space="0" w:color="auto"/>
            <w:left w:val="none" w:sz="0" w:space="0" w:color="auto"/>
            <w:bottom w:val="none" w:sz="0" w:space="0" w:color="auto"/>
            <w:right w:val="none" w:sz="0" w:space="0" w:color="auto"/>
          </w:divBdr>
        </w:div>
        <w:div w:id="2120025963">
          <w:marLeft w:val="0"/>
          <w:marRight w:val="0"/>
          <w:marTop w:val="0"/>
          <w:marBottom w:val="0"/>
          <w:divBdr>
            <w:top w:val="none" w:sz="0" w:space="0" w:color="auto"/>
            <w:left w:val="none" w:sz="0" w:space="0" w:color="auto"/>
            <w:bottom w:val="none" w:sz="0" w:space="0" w:color="auto"/>
            <w:right w:val="none" w:sz="0" w:space="0" w:color="auto"/>
          </w:divBdr>
        </w:div>
        <w:div w:id="195696715">
          <w:marLeft w:val="0"/>
          <w:marRight w:val="0"/>
          <w:marTop w:val="0"/>
          <w:marBottom w:val="0"/>
          <w:divBdr>
            <w:top w:val="none" w:sz="0" w:space="0" w:color="auto"/>
            <w:left w:val="none" w:sz="0" w:space="0" w:color="auto"/>
            <w:bottom w:val="none" w:sz="0" w:space="0" w:color="auto"/>
            <w:right w:val="none" w:sz="0" w:space="0" w:color="auto"/>
          </w:divBdr>
        </w:div>
        <w:div w:id="270090084">
          <w:marLeft w:val="0"/>
          <w:marRight w:val="0"/>
          <w:marTop w:val="0"/>
          <w:marBottom w:val="0"/>
          <w:divBdr>
            <w:top w:val="none" w:sz="0" w:space="0" w:color="auto"/>
            <w:left w:val="none" w:sz="0" w:space="0" w:color="auto"/>
            <w:bottom w:val="none" w:sz="0" w:space="0" w:color="auto"/>
            <w:right w:val="none" w:sz="0" w:space="0" w:color="auto"/>
          </w:divBdr>
        </w:div>
        <w:div w:id="22946704">
          <w:marLeft w:val="0"/>
          <w:marRight w:val="0"/>
          <w:marTop w:val="0"/>
          <w:marBottom w:val="0"/>
          <w:divBdr>
            <w:top w:val="none" w:sz="0" w:space="0" w:color="auto"/>
            <w:left w:val="none" w:sz="0" w:space="0" w:color="auto"/>
            <w:bottom w:val="none" w:sz="0" w:space="0" w:color="auto"/>
            <w:right w:val="none" w:sz="0" w:space="0" w:color="auto"/>
          </w:divBdr>
        </w:div>
        <w:div w:id="1779173929">
          <w:marLeft w:val="0"/>
          <w:marRight w:val="0"/>
          <w:marTop w:val="0"/>
          <w:marBottom w:val="0"/>
          <w:divBdr>
            <w:top w:val="none" w:sz="0" w:space="0" w:color="auto"/>
            <w:left w:val="none" w:sz="0" w:space="0" w:color="auto"/>
            <w:bottom w:val="none" w:sz="0" w:space="0" w:color="auto"/>
            <w:right w:val="none" w:sz="0" w:space="0" w:color="auto"/>
          </w:divBdr>
        </w:div>
        <w:div w:id="1366952881">
          <w:marLeft w:val="0"/>
          <w:marRight w:val="0"/>
          <w:marTop w:val="0"/>
          <w:marBottom w:val="0"/>
          <w:divBdr>
            <w:top w:val="none" w:sz="0" w:space="0" w:color="auto"/>
            <w:left w:val="none" w:sz="0" w:space="0" w:color="auto"/>
            <w:bottom w:val="none" w:sz="0" w:space="0" w:color="auto"/>
            <w:right w:val="none" w:sz="0" w:space="0" w:color="auto"/>
          </w:divBdr>
        </w:div>
        <w:div w:id="2120834418">
          <w:marLeft w:val="0"/>
          <w:marRight w:val="0"/>
          <w:marTop w:val="0"/>
          <w:marBottom w:val="0"/>
          <w:divBdr>
            <w:top w:val="none" w:sz="0" w:space="0" w:color="auto"/>
            <w:left w:val="none" w:sz="0" w:space="0" w:color="auto"/>
            <w:bottom w:val="none" w:sz="0" w:space="0" w:color="auto"/>
            <w:right w:val="none" w:sz="0" w:space="0" w:color="auto"/>
          </w:divBdr>
        </w:div>
        <w:div w:id="2050956672">
          <w:marLeft w:val="0"/>
          <w:marRight w:val="0"/>
          <w:marTop w:val="0"/>
          <w:marBottom w:val="0"/>
          <w:divBdr>
            <w:top w:val="none" w:sz="0" w:space="0" w:color="auto"/>
            <w:left w:val="none" w:sz="0" w:space="0" w:color="auto"/>
            <w:bottom w:val="none" w:sz="0" w:space="0" w:color="auto"/>
            <w:right w:val="none" w:sz="0" w:space="0" w:color="auto"/>
          </w:divBdr>
        </w:div>
        <w:div w:id="937100809">
          <w:marLeft w:val="0"/>
          <w:marRight w:val="0"/>
          <w:marTop w:val="0"/>
          <w:marBottom w:val="0"/>
          <w:divBdr>
            <w:top w:val="none" w:sz="0" w:space="0" w:color="auto"/>
            <w:left w:val="none" w:sz="0" w:space="0" w:color="auto"/>
            <w:bottom w:val="none" w:sz="0" w:space="0" w:color="auto"/>
            <w:right w:val="none" w:sz="0" w:space="0" w:color="auto"/>
          </w:divBdr>
        </w:div>
        <w:div w:id="58404372">
          <w:marLeft w:val="0"/>
          <w:marRight w:val="0"/>
          <w:marTop w:val="0"/>
          <w:marBottom w:val="0"/>
          <w:divBdr>
            <w:top w:val="none" w:sz="0" w:space="0" w:color="auto"/>
            <w:left w:val="none" w:sz="0" w:space="0" w:color="auto"/>
            <w:bottom w:val="none" w:sz="0" w:space="0" w:color="auto"/>
            <w:right w:val="none" w:sz="0" w:space="0" w:color="auto"/>
          </w:divBdr>
        </w:div>
        <w:div w:id="1344555393">
          <w:marLeft w:val="0"/>
          <w:marRight w:val="0"/>
          <w:marTop w:val="0"/>
          <w:marBottom w:val="0"/>
          <w:divBdr>
            <w:top w:val="none" w:sz="0" w:space="0" w:color="auto"/>
            <w:left w:val="none" w:sz="0" w:space="0" w:color="auto"/>
            <w:bottom w:val="none" w:sz="0" w:space="0" w:color="auto"/>
            <w:right w:val="none" w:sz="0" w:space="0" w:color="auto"/>
          </w:divBdr>
        </w:div>
        <w:div w:id="1769231711">
          <w:marLeft w:val="0"/>
          <w:marRight w:val="0"/>
          <w:marTop w:val="0"/>
          <w:marBottom w:val="0"/>
          <w:divBdr>
            <w:top w:val="none" w:sz="0" w:space="0" w:color="auto"/>
            <w:left w:val="none" w:sz="0" w:space="0" w:color="auto"/>
            <w:bottom w:val="none" w:sz="0" w:space="0" w:color="auto"/>
            <w:right w:val="none" w:sz="0" w:space="0" w:color="auto"/>
          </w:divBdr>
        </w:div>
        <w:div w:id="1032920152">
          <w:marLeft w:val="0"/>
          <w:marRight w:val="0"/>
          <w:marTop w:val="0"/>
          <w:marBottom w:val="0"/>
          <w:divBdr>
            <w:top w:val="none" w:sz="0" w:space="0" w:color="auto"/>
            <w:left w:val="none" w:sz="0" w:space="0" w:color="auto"/>
            <w:bottom w:val="none" w:sz="0" w:space="0" w:color="auto"/>
            <w:right w:val="none" w:sz="0" w:space="0" w:color="auto"/>
          </w:divBdr>
        </w:div>
        <w:div w:id="1855418385">
          <w:marLeft w:val="0"/>
          <w:marRight w:val="0"/>
          <w:marTop w:val="0"/>
          <w:marBottom w:val="0"/>
          <w:divBdr>
            <w:top w:val="none" w:sz="0" w:space="0" w:color="auto"/>
            <w:left w:val="none" w:sz="0" w:space="0" w:color="auto"/>
            <w:bottom w:val="none" w:sz="0" w:space="0" w:color="auto"/>
            <w:right w:val="none" w:sz="0" w:space="0" w:color="auto"/>
          </w:divBdr>
        </w:div>
        <w:div w:id="1955092067">
          <w:marLeft w:val="0"/>
          <w:marRight w:val="0"/>
          <w:marTop w:val="0"/>
          <w:marBottom w:val="0"/>
          <w:divBdr>
            <w:top w:val="none" w:sz="0" w:space="0" w:color="auto"/>
            <w:left w:val="none" w:sz="0" w:space="0" w:color="auto"/>
            <w:bottom w:val="none" w:sz="0" w:space="0" w:color="auto"/>
            <w:right w:val="none" w:sz="0" w:space="0" w:color="auto"/>
          </w:divBdr>
        </w:div>
        <w:div w:id="640766187">
          <w:marLeft w:val="0"/>
          <w:marRight w:val="0"/>
          <w:marTop w:val="0"/>
          <w:marBottom w:val="0"/>
          <w:divBdr>
            <w:top w:val="none" w:sz="0" w:space="0" w:color="auto"/>
            <w:left w:val="none" w:sz="0" w:space="0" w:color="auto"/>
            <w:bottom w:val="none" w:sz="0" w:space="0" w:color="auto"/>
            <w:right w:val="none" w:sz="0" w:space="0" w:color="auto"/>
          </w:divBdr>
        </w:div>
        <w:div w:id="1595478434">
          <w:marLeft w:val="0"/>
          <w:marRight w:val="0"/>
          <w:marTop w:val="0"/>
          <w:marBottom w:val="0"/>
          <w:divBdr>
            <w:top w:val="none" w:sz="0" w:space="0" w:color="auto"/>
            <w:left w:val="none" w:sz="0" w:space="0" w:color="auto"/>
            <w:bottom w:val="none" w:sz="0" w:space="0" w:color="auto"/>
            <w:right w:val="none" w:sz="0" w:space="0" w:color="auto"/>
          </w:divBdr>
        </w:div>
        <w:div w:id="136000005">
          <w:marLeft w:val="0"/>
          <w:marRight w:val="0"/>
          <w:marTop w:val="0"/>
          <w:marBottom w:val="0"/>
          <w:divBdr>
            <w:top w:val="none" w:sz="0" w:space="0" w:color="auto"/>
            <w:left w:val="none" w:sz="0" w:space="0" w:color="auto"/>
            <w:bottom w:val="none" w:sz="0" w:space="0" w:color="auto"/>
            <w:right w:val="none" w:sz="0" w:space="0" w:color="auto"/>
          </w:divBdr>
        </w:div>
        <w:div w:id="2076467556">
          <w:marLeft w:val="0"/>
          <w:marRight w:val="0"/>
          <w:marTop w:val="0"/>
          <w:marBottom w:val="0"/>
          <w:divBdr>
            <w:top w:val="none" w:sz="0" w:space="0" w:color="auto"/>
            <w:left w:val="none" w:sz="0" w:space="0" w:color="auto"/>
            <w:bottom w:val="none" w:sz="0" w:space="0" w:color="auto"/>
            <w:right w:val="none" w:sz="0" w:space="0" w:color="auto"/>
          </w:divBdr>
        </w:div>
        <w:div w:id="1355307084">
          <w:marLeft w:val="0"/>
          <w:marRight w:val="0"/>
          <w:marTop w:val="0"/>
          <w:marBottom w:val="0"/>
          <w:divBdr>
            <w:top w:val="none" w:sz="0" w:space="0" w:color="auto"/>
            <w:left w:val="none" w:sz="0" w:space="0" w:color="auto"/>
            <w:bottom w:val="none" w:sz="0" w:space="0" w:color="auto"/>
            <w:right w:val="none" w:sz="0" w:space="0" w:color="auto"/>
          </w:divBdr>
        </w:div>
        <w:div w:id="1918976585">
          <w:marLeft w:val="0"/>
          <w:marRight w:val="0"/>
          <w:marTop w:val="0"/>
          <w:marBottom w:val="0"/>
          <w:divBdr>
            <w:top w:val="none" w:sz="0" w:space="0" w:color="auto"/>
            <w:left w:val="none" w:sz="0" w:space="0" w:color="auto"/>
            <w:bottom w:val="none" w:sz="0" w:space="0" w:color="auto"/>
            <w:right w:val="none" w:sz="0" w:space="0" w:color="auto"/>
          </w:divBdr>
        </w:div>
        <w:div w:id="2057048354">
          <w:marLeft w:val="0"/>
          <w:marRight w:val="0"/>
          <w:marTop w:val="0"/>
          <w:marBottom w:val="0"/>
          <w:divBdr>
            <w:top w:val="none" w:sz="0" w:space="0" w:color="auto"/>
            <w:left w:val="none" w:sz="0" w:space="0" w:color="auto"/>
            <w:bottom w:val="none" w:sz="0" w:space="0" w:color="auto"/>
            <w:right w:val="none" w:sz="0" w:space="0" w:color="auto"/>
          </w:divBdr>
        </w:div>
        <w:div w:id="1117287028">
          <w:marLeft w:val="0"/>
          <w:marRight w:val="0"/>
          <w:marTop w:val="0"/>
          <w:marBottom w:val="0"/>
          <w:divBdr>
            <w:top w:val="none" w:sz="0" w:space="0" w:color="auto"/>
            <w:left w:val="none" w:sz="0" w:space="0" w:color="auto"/>
            <w:bottom w:val="none" w:sz="0" w:space="0" w:color="auto"/>
            <w:right w:val="none" w:sz="0" w:space="0" w:color="auto"/>
          </w:divBdr>
        </w:div>
        <w:div w:id="24672400">
          <w:marLeft w:val="0"/>
          <w:marRight w:val="0"/>
          <w:marTop w:val="0"/>
          <w:marBottom w:val="0"/>
          <w:divBdr>
            <w:top w:val="none" w:sz="0" w:space="0" w:color="auto"/>
            <w:left w:val="none" w:sz="0" w:space="0" w:color="auto"/>
            <w:bottom w:val="none" w:sz="0" w:space="0" w:color="auto"/>
            <w:right w:val="none" w:sz="0" w:space="0" w:color="auto"/>
          </w:divBdr>
        </w:div>
        <w:div w:id="1436247080">
          <w:marLeft w:val="0"/>
          <w:marRight w:val="0"/>
          <w:marTop w:val="0"/>
          <w:marBottom w:val="0"/>
          <w:divBdr>
            <w:top w:val="none" w:sz="0" w:space="0" w:color="auto"/>
            <w:left w:val="none" w:sz="0" w:space="0" w:color="auto"/>
            <w:bottom w:val="none" w:sz="0" w:space="0" w:color="auto"/>
            <w:right w:val="none" w:sz="0" w:space="0" w:color="auto"/>
          </w:divBdr>
        </w:div>
        <w:div w:id="8609991">
          <w:marLeft w:val="0"/>
          <w:marRight w:val="0"/>
          <w:marTop w:val="0"/>
          <w:marBottom w:val="0"/>
          <w:divBdr>
            <w:top w:val="none" w:sz="0" w:space="0" w:color="auto"/>
            <w:left w:val="none" w:sz="0" w:space="0" w:color="auto"/>
            <w:bottom w:val="none" w:sz="0" w:space="0" w:color="auto"/>
            <w:right w:val="none" w:sz="0" w:space="0" w:color="auto"/>
          </w:divBdr>
        </w:div>
        <w:div w:id="1418988127">
          <w:marLeft w:val="0"/>
          <w:marRight w:val="0"/>
          <w:marTop w:val="0"/>
          <w:marBottom w:val="0"/>
          <w:divBdr>
            <w:top w:val="none" w:sz="0" w:space="0" w:color="auto"/>
            <w:left w:val="none" w:sz="0" w:space="0" w:color="auto"/>
            <w:bottom w:val="none" w:sz="0" w:space="0" w:color="auto"/>
            <w:right w:val="none" w:sz="0" w:space="0" w:color="auto"/>
          </w:divBdr>
        </w:div>
        <w:div w:id="1698313097">
          <w:marLeft w:val="0"/>
          <w:marRight w:val="0"/>
          <w:marTop w:val="0"/>
          <w:marBottom w:val="0"/>
          <w:divBdr>
            <w:top w:val="none" w:sz="0" w:space="0" w:color="auto"/>
            <w:left w:val="none" w:sz="0" w:space="0" w:color="auto"/>
            <w:bottom w:val="none" w:sz="0" w:space="0" w:color="auto"/>
            <w:right w:val="none" w:sz="0" w:space="0" w:color="auto"/>
          </w:divBdr>
        </w:div>
        <w:div w:id="667095234">
          <w:marLeft w:val="0"/>
          <w:marRight w:val="0"/>
          <w:marTop w:val="0"/>
          <w:marBottom w:val="0"/>
          <w:divBdr>
            <w:top w:val="none" w:sz="0" w:space="0" w:color="auto"/>
            <w:left w:val="none" w:sz="0" w:space="0" w:color="auto"/>
            <w:bottom w:val="none" w:sz="0" w:space="0" w:color="auto"/>
            <w:right w:val="none" w:sz="0" w:space="0" w:color="auto"/>
          </w:divBdr>
        </w:div>
        <w:div w:id="1725331068">
          <w:marLeft w:val="0"/>
          <w:marRight w:val="0"/>
          <w:marTop w:val="0"/>
          <w:marBottom w:val="0"/>
          <w:divBdr>
            <w:top w:val="none" w:sz="0" w:space="0" w:color="auto"/>
            <w:left w:val="none" w:sz="0" w:space="0" w:color="auto"/>
            <w:bottom w:val="none" w:sz="0" w:space="0" w:color="auto"/>
            <w:right w:val="none" w:sz="0" w:space="0" w:color="auto"/>
          </w:divBdr>
        </w:div>
        <w:div w:id="226235025">
          <w:marLeft w:val="0"/>
          <w:marRight w:val="0"/>
          <w:marTop w:val="0"/>
          <w:marBottom w:val="0"/>
          <w:divBdr>
            <w:top w:val="none" w:sz="0" w:space="0" w:color="auto"/>
            <w:left w:val="none" w:sz="0" w:space="0" w:color="auto"/>
            <w:bottom w:val="none" w:sz="0" w:space="0" w:color="auto"/>
            <w:right w:val="none" w:sz="0" w:space="0" w:color="auto"/>
          </w:divBdr>
        </w:div>
        <w:div w:id="1109661686">
          <w:marLeft w:val="0"/>
          <w:marRight w:val="0"/>
          <w:marTop w:val="0"/>
          <w:marBottom w:val="0"/>
          <w:divBdr>
            <w:top w:val="none" w:sz="0" w:space="0" w:color="auto"/>
            <w:left w:val="none" w:sz="0" w:space="0" w:color="auto"/>
            <w:bottom w:val="none" w:sz="0" w:space="0" w:color="auto"/>
            <w:right w:val="none" w:sz="0" w:space="0" w:color="auto"/>
          </w:divBdr>
        </w:div>
        <w:div w:id="1131939518">
          <w:marLeft w:val="0"/>
          <w:marRight w:val="0"/>
          <w:marTop w:val="0"/>
          <w:marBottom w:val="0"/>
          <w:divBdr>
            <w:top w:val="none" w:sz="0" w:space="0" w:color="auto"/>
            <w:left w:val="none" w:sz="0" w:space="0" w:color="auto"/>
            <w:bottom w:val="none" w:sz="0" w:space="0" w:color="auto"/>
            <w:right w:val="none" w:sz="0" w:space="0" w:color="auto"/>
          </w:divBdr>
        </w:div>
        <w:div w:id="527766191">
          <w:marLeft w:val="0"/>
          <w:marRight w:val="0"/>
          <w:marTop w:val="0"/>
          <w:marBottom w:val="0"/>
          <w:divBdr>
            <w:top w:val="none" w:sz="0" w:space="0" w:color="auto"/>
            <w:left w:val="none" w:sz="0" w:space="0" w:color="auto"/>
            <w:bottom w:val="none" w:sz="0" w:space="0" w:color="auto"/>
            <w:right w:val="none" w:sz="0" w:space="0" w:color="auto"/>
          </w:divBdr>
        </w:div>
        <w:div w:id="1280528910">
          <w:marLeft w:val="0"/>
          <w:marRight w:val="0"/>
          <w:marTop w:val="0"/>
          <w:marBottom w:val="0"/>
          <w:divBdr>
            <w:top w:val="none" w:sz="0" w:space="0" w:color="auto"/>
            <w:left w:val="none" w:sz="0" w:space="0" w:color="auto"/>
            <w:bottom w:val="none" w:sz="0" w:space="0" w:color="auto"/>
            <w:right w:val="none" w:sz="0" w:space="0" w:color="auto"/>
          </w:divBdr>
        </w:div>
        <w:div w:id="2018344573">
          <w:marLeft w:val="0"/>
          <w:marRight w:val="0"/>
          <w:marTop w:val="0"/>
          <w:marBottom w:val="0"/>
          <w:divBdr>
            <w:top w:val="none" w:sz="0" w:space="0" w:color="auto"/>
            <w:left w:val="none" w:sz="0" w:space="0" w:color="auto"/>
            <w:bottom w:val="none" w:sz="0" w:space="0" w:color="auto"/>
            <w:right w:val="none" w:sz="0" w:space="0" w:color="auto"/>
          </w:divBdr>
        </w:div>
        <w:div w:id="1075663465">
          <w:marLeft w:val="0"/>
          <w:marRight w:val="0"/>
          <w:marTop w:val="0"/>
          <w:marBottom w:val="0"/>
          <w:divBdr>
            <w:top w:val="none" w:sz="0" w:space="0" w:color="auto"/>
            <w:left w:val="none" w:sz="0" w:space="0" w:color="auto"/>
            <w:bottom w:val="none" w:sz="0" w:space="0" w:color="auto"/>
            <w:right w:val="none" w:sz="0" w:space="0" w:color="auto"/>
          </w:divBdr>
        </w:div>
        <w:div w:id="760954101">
          <w:marLeft w:val="0"/>
          <w:marRight w:val="0"/>
          <w:marTop w:val="0"/>
          <w:marBottom w:val="0"/>
          <w:divBdr>
            <w:top w:val="none" w:sz="0" w:space="0" w:color="auto"/>
            <w:left w:val="none" w:sz="0" w:space="0" w:color="auto"/>
            <w:bottom w:val="none" w:sz="0" w:space="0" w:color="auto"/>
            <w:right w:val="none" w:sz="0" w:space="0" w:color="auto"/>
          </w:divBdr>
        </w:div>
        <w:div w:id="672606287">
          <w:marLeft w:val="0"/>
          <w:marRight w:val="0"/>
          <w:marTop w:val="0"/>
          <w:marBottom w:val="0"/>
          <w:divBdr>
            <w:top w:val="none" w:sz="0" w:space="0" w:color="auto"/>
            <w:left w:val="none" w:sz="0" w:space="0" w:color="auto"/>
            <w:bottom w:val="none" w:sz="0" w:space="0" w:color="auto"/>
            <w:right w:val="none" w:sz="0" w:space="0" w:color="auto"/>
          </w:divBdr>
        </w:div>
        <w:div w:id="1917394956">
          <w:marLeft w:val="0"/>
          <w:marRight w:val="0"/>
          <w:marTop w:val="0"/>
          <w:marBottom w:val="0"/>
          <w:divBdr>
            <w:top w:val="none" w:sz="0" w:space="0" w:color="auto"/>
            <w:left w:val="none" w:sz="0" w:space="0" w:color="auto"/>
            <w:bottom w:val="none" w:sz="0" w:space="0" w:color="auto"/>
            <w:right w:val="none" w:sz="0" w:space="0" w:color="auto"/>
          </w:divBdr>
        </w:div>
        <w:div w:id="94636047">
          <w:marLeft w:val="0"/>
          <w:marRight w:val="0"/>
          <w:marTop w:val="0"/>
          <w:marBottom w:val="0"/>
          <w:divBdr>
            <w:top w:val="none" w:sz="0" w:space="0" w:color="auto"/>
            <w:left w:val="none" w:sz="0" w:space="0" w:color="auto"/>
            <w:bottom w:val="none" w:sz="0" w:space="0" w:color="auto"/>
            <w:right w:val="none" w:sz="0" w:space="0" w:color="auto"/>
          </w:divBdr>
        </w:div>
        <w:div w:id="864365505">
          <w:marLeft w:val="0"/>
          <w:marRight w:val="0"/>
          <w:marTop w:val="0"/>
          <w:marBottom w:val="0"/>
          <w:divBdr>
            <w:top w:val="none" w:sz="0" w:space="0" w:color="auto"/>
            <w:left w:val="none" w:sz="0" w:space="0" w:color="auto"/>
            <w:bottom w:val="none" w:sz="0" w:space="0" w:color="auto"/>
            <w:right w:val="none" w:sz="0" w:space="0" w:color="auto"/>
          </w:divBdr>
        </w:div>
        <w:div w:id="526216725">
          <w:marLeft w:val="0"/>
          <w:marRight w:val="0"/>
          <w:marTop w:val="0"/>
          <w:marBottom w:val="0"/>
          <w:divBdr>
            <w:top w:val="none" w:sz="0" w:space="0" w:color="auto"/>
            <w:left w:val="none" w:sz="0" w:space="0" w:color="auto"/>
            <w:bottom w:val="none" w:sz="0" w:space="0" w:color="auto"/>
            <w:right w:val="none" w:sz="0" w:space="0" w:color="auto"/>
          </w:divBdr>
        </w:div>
        <w:div w:id="994529763">
          <w:marLeft w:val="0"/>
          <w:marRight w:val="0"/>
          <w:marTop w:val="0"/>
          <w:marBottom w:val="0"/>
          <w:divBdr>
            <w:top w:val="none" w:sz="0" w:space="0" w:color="auto"/>
            <w:left w:val="none" w:sz="0" w:space="0" w:color="auto"/>
            <w:bottom w:val="none" w:sz="0" w:space="0" w:color="auto"/>
            <w:right w:val="none" w:sz="0" w:space="0" w:color="auto"/>
          </w:divBdr>
        </w:div>
        <w:div w:id="367683376">
          <w:marLeft w:val="0"/>
          <w:marRight w:val="0"/>
          <w:marTop w:val="0"/>
          <w:marBottom w:val="0"/>
          <w:divBdr>
            <w:top w:val="none" w:sz="0" w:space="0" w:color="auto"/>
            <w:left w:val="none" w:sz="0" w:space="0" w:color="auto"/>
            <w:bottom w:val="none" w:sz="0" w:space="0" w:color="auto"/>
            <w:right w:val="none" w:sz="0" w:space="0" w:color="auto"/>
          </w:divBdr>
        </w:div>
        <w:div w:id="1296107858">
          <w:marLeft w:val="0"/>
          <w:marRight w:val="0"/>
          <w:marTop w:val="0"/>
          <w:marBottom w:val="0"/>
          <w:divBdr>
            <w:top w:val="none" w:sz="0" w:space="0" w:color="auto"/>
            <w:left w:val="none" w:sz="0" w:space="0" w:color="auto"/>
            <w:bottom w:val="none" w:sz="0" w:space="0" w:color="auto"/>
            <w:right w:val="none" w:sz="0" w:space="0" w:color="auto"/>
          </w:divBdr>
        </w:div>
        <w:div w:id="372459457">
          <w:marLeft w:val="0"/>
          <w:marRight w:val="0"/>
          <w:marTop w:val="0"/>
          <w:marBottom w:val="0"/>
          <w:divBdr>
            <w:top w:val="none" w:sz="0" w:space="0" w:color="auto"/>
            <w:left w:val="none" w:sz="0" w:space="0" w:color="auto"/>
            <w:bottom w:val="none" w:sz="0" w:space="0" w:color="auto"/>
            <w:right w:val="none" w:sz="0" w:space="0" w:color="auto"/>
          </w:divBdr>
        </w:div>
        <w:div w:id="1271935720">
          <w:marLeft w:val="0"/>
          <w:marRight w:val="0"/>
          <w:marTop w:val="0"/>
          <w:marBottom w:val="0"/>
          <w:divBdr>
            <w:top w:val="none" w:sz="0" w:space="0" w:color="auto"/>
            <w:left w:val="none" w:sz="0" w:space="0" w:color="auto"/>
            <w:bottom w:val="none" w:sz="0" w:space="0" w:color="auto"/>
            <w:right w:val="none" w:sz="0" w:space="0" w:color="auto"/>
          </w:divBdr>
        </w:div>
        <w:div w:id="264966907">
          <w:marLeft w:val="0"/>
          <w:marRight w:val="0"/>
          <w:marTop w:val="0"/>
          <w:marBottom w:val="0"/>
          <w:divBdr>
            <w:top w:val="none" w:sz="0" w:space="0" w:color="auto"/>
            <w:left w:val="none" w:sz="0" w:space="0" w:color="auto"/>
            <w:bottom w:val="none" w:sz="0" w:space="0" w:color="auto"/>
            <w:right w:val="none" w:sz="0" w:space="0" w:color="auto"/>
          </w:divBdr>
        </w:div>
        <w:div w:id="827134948">
          <w:marLeft w:val="0"/>
          <w:marRight w:val="0"/>
          <w:marTop w:val="0"/>
          <w:marBottom w:val="0"/>
          <w:divBdr>
            <w:top w:val="none" w:sz="0" w:space="0" w:color="auto"/>
            <w:left w:val="none" w:sz="0" w:space="0" w:color="auto"/>
            <w:bottom w:val="none" w:sz="0" w:space="0" w:color="auto"/>
            <w:right w:val="none" w:sz="0" w:space="0" w:color="auto"/>
          </w:divBdr>
        </w:div>
      </w:divsChild>
    </w:div>
    <w:div w:id="694186761">
      <w:bodyDiv w:val="1"/>
      <w:marLeft w:val="0"/>
      <w:marRight w:val="0"/>
      <w:marTop w:val="0"/>
      <w:marBottom w:val="0"/>
      <w:divBdr>
        <w:top w:val="none" w:sz="0" w:space="0" w:color="auto"/>
        <w:left w:val="none" w:sz="0" w:space="0" w:color="auto"/>
        <w:bottom w:val="none" w:sz="0" w:space="0" w:color="auto"/>
        <w:right w:val="none" w:sz="0" w:space="0" w:color="auto"/>
      </w:divBdr>
      <w:divsChild>
        <w:div w:id="1820730187">
          <w:marLeft w:val="0"/>
          <w:marRight w:val="0"/>
          <w:marTop w:val="0"/>
          <w:marBottom w:val="0"/>
          <w:divBdr>
            <w:top w:val="none" w:sz="0" w:space="0" w:color="auto"/>
            <w:left w:val="none" w:sz="0" w:space="0" w:color="auto"/>
            <w:bottom w:val="none" w:sz="0" w:space="0" w:color="auto"/>
            <w:right w:val="none" w:sz="0" w:space="0" w:color="auto"/>
          </w:divBdr>
        </w:div>
        <w:div w:id="215625066">
          <w:marLeft w:val="0"/>
          <w:marRight w:val="0"/>
          <w:marTop w:val="0"/>
          <w:marBottom w:val="0"/>
          <w:divBdr>
            <w:top w:val="none" w:sz="0" w:space="0" w:color="auto"/>
            <w:left w:val="none" w:sz="0" w:space="0" w:color="auto"/>
            <w:bottom w:val="none" w:sz="0" w:space="0" w:color="auto"/>
            <w:right w:val="none" w:sz="0" w:space="0" w:color="auto"/>
          </w:divBdr>
        </w:div>
        <w:div w:id="1184131602">
          <w:marLeft w:val="0"/>
          <w:marRight w:val="0"/>
          <w:marTop w:val="0"/>
          <w:marBottom w:val="0"/>
          <w:divBdr>
            <w:top w:val="none" w:sz="0" w:space="0" w:color="auto"/>
            <w:left w:val="none" w:sz="0" w:space="0" w:color="auto"/>
            <w:bottom w:val="none" w:sz="0" w:space="0" w:color="auto"/>
            <w:right w:val="none" w:sz="0" w:space="0" w:color="auto"/>
          </w:divBdr>
        </w:div>
        <w:div w:id="1402020870">
          <w:marLeft w:val="0"/>
          <w:marRight w:val="0"/>
          <w:marTop w:val="0"/>
          <w:marBottom w:val="0"/>
          <w:divBdr>
            <w:top w:val="none" w:sz="0" w:space="0" w:color="auto"/>
            <w:left w:val="none" w:sz="0" w:space="0" w:color="auto"/>
            <w:bottom w:val="none" w:sz="0" w:space="0" w:color="auto"/>
            <w:right w:val="none" w:sz="0" w:space="0" w:color="auto"/>
          </w:divBdr>
        </w:div>
        <w:div w:id="2041319098">
          <w:marLeft w:val="0"/>
          <w:marRight w:val="0"/>
          <w:marTop w:val="0"/>
          <w:marBottom w:val="0"/>
          <w:divBdr>
            <w:top w:val="none" w:sz="0" w:space="0" w:color="auto"/>
            <w:left w:val="none" w:sz="0" w:space="0" w:color="auto"/>
            <w:bottom w:val="none" w:sz="0" w:space="0" w:color="auto"/>
            <w:right w:val="none" w:sz="0" w:space="0" w:color="auto"/>
          </w:divBdr>
        </w:div>
        <w:div w:id="1931888756">
          <w:marLeft w:val="0"/>
          <w:marRight w:val="0"/>
          <w:marTop w:val="0"/>
          <w:marBottom w:val="0"/>
          <w:divBdr>
            <w:top w:val="none" w:sz="0" w:space="0" w:color="auto"/>
            <w:left w:val="none" w:sz="0" w:space="0" w:color="auto"/>
            <w:bottom w:val="none" w:sz="0" w:space="0" w:color="auto"/>
            <w:right w:val="none" w:sz="0" w:space="0" w:color="auto"/>
          </w:divBdr>
        </w:div>
        <w:div w:id="547454644">
          <w:marLeft w:val="0"/>
          <w:marRight w:val="0"/>
          <w:marTop w:val="0"/>
          <w:marBottom w:val="0"/>
          <w:divBdr>
            <w:top w:val="none" w:sz="0" w:space="0" w:color="auto"/>
            <w:left w:val="none" w:sz="0" w:space="0" w:color="auto"/>
            <w:bottom w:val="none" w:sz="0" w:space="0" w:color="auto"/>
            <w:right w:val="none" w:sz="0" w:space="0" w:color="auto"/>
          </w:divBdr>
        </w:div>
        <w:div w:id="1834759711">
          <w:marLeft w:val="0"/>
          <w:marRight w:val="0"/>
          <w:marTop w:val="0"/>
          <w:marBottom w:val="0"/>
          <w:divBdr>
            <w:top w:val="none" w:sz="0" w:space="0" w:color="auto"/>
            <w:left w:val="none" w:sz="0" w:space="0" w:color="auto"/>
            <w:bottom w:val="none" w:sz="0" w:space="0" w:color="auto"/>
            <w:right w:val="none" w:sz="0" w:space="0" w:color="auto"/>
          </w:divBdr>
        </w:div>
        <w:div w:id="1787655440">
          <w:marLeft w:val="0"/>
          <w:marRight w:val="0"/>
          <w:marTop w:val="0"/>
          <w:marBottom w:val="0"/>
          <w:divBdr>
            <w:top w:val="none" w:sz="0" w:space="0" w:color="auto"/>
            <w:left w:val="none" w:sz="0" w:space="0" w:color="auto"/>
            <w:bottom w:val="none" w:sz="0" w:space="0" w:color="auto"/>
            <w:right w:val="none" w:sz="0" w:space="0" w:color="auto"/>
          </w:divBdr>
        </w:div>
        <w:div w:id="581111914">
          <w:marLeft w:val="0"/>
          <w:marRight w:val="0"/>
          <w:marTop w:val="0"/>
          <w:marBottom w:val="0"/>
          <w:divBdr>
            <w:top w:val="none" w:sz="0" w:space="0" w:color="auto"/>
            <w:left w:val="none" w:sz="0" w:space="0" w:color="auto"/>
            <w:bottom w:val="none" w:sz="0" w:space="0" w:color="auto"/>
            <w:right w:val="none" w:sz="0" w:space="0" w:color="auto"/>
          </w:divBdr>
        </w:div>
        <w:div w:id="938372523">
          <w:marLeft w:val="0"/>
          <w:marRight w:val="0"/>
          <w:marTop w:val="0"/>
          <w:marBottom w:val="0"/>
          <w:divBdr>
            <w:top w:val="none" w:sz="0" w:space="0" w:color="auto"/>
            <w:left w:val="none" w:sz="0" w:space="0" w:color="auto"/>
            <w:bottom w:val="none" w:sz="0" w:space="0" w:color="auto"/>
            <w:right w:val="none" w:sz="0" w:space="0" w:color="auto"/>
          </w:divBdr>
        </w:div>
        <w:div w:id="1761100714">
          <w:marLeft w:val="0"/>
          <w:marRight w:val="0"/>
          <w:marTop w:val="0"/>
          <w:marBottom w:val="0"/>
          <w:divBdr>
            <w:top w:val="none" w:sz="0" w:space="0" w:color="auto"/>
            <w:left w:val="none" w:sz="0" w:space="0" w:color="auto"/>
            <w:bottom w:val="none" w:sz="0" w:space="0" w:color="auto"/>
            <w:right w:val="none" w:sz="0" w:space="0" w:color="auto"/>
          </w:divBdr>
        </w:div>
        <w:div w:id="1703090915">
          <w:marLeft w:val="0"/>
          <w:marRight w:val="0"/>
          <w:marTop w:val="0"/>
          <w:marBottom w:val="0"/>
          <w:divBdr>
            <w:top w:val="none" w:sz="0" w:space="0" w:color="auto"/>
            <w:left w:val="none" w:sz="0" w:space="0" w:color="auto"/>
            <w:bottom w:val="none" w:sz="0" w:space="0" w:color="auto"/>
            <w:right w:val="none" w:sz="0" w:space="0" w:color="auto"/>
          </w:divBdr>
        </w:div>
        <w:div w:id="2123835564">
          <w:marLeft w:val="0"/>
          <w:marRight w:val="0"/>
          <w:marTop w:val="0"/>
          <w:marBottom w:val="0"/>
          <w:divBdr>
            <w:top w:val="none" w:sz="0" w:space="0" w:color="auto"/>
            <w:left w:val="none" w:sz="0" w:space="0" w:color="auto"/>
            <w:bottom w:val="none" w:sz="0" w:space="0" w:color="auto"/>
            <w:right w:val="none" w:sz="0" w:space="0" w:color="auto"/>
          </w:divBdr>
        </w:div>
        <w:div w:id="1571766004">
          <w:marLeft w:val="0"/>
          <w:marRight w:val="0"/>
          <w:marTop w:val="0"/>
          <w:marBottom w:val="0"/>
          <w:divBdr>
            <w:top w:val="none" w:sz="0" w:space="0" w:color="auto"/>
            <w:left w:val="none" w:sz="0" w:space="0" w:color="auto"/>
            <w:bottom w:val="none" w:sz="0" w:space="0" w:color="auto"/>
            <w:right w:val="none" w:sz="0" w:space="0" w:color="auto"/>
          </w:divBdr>
        </w:div>
      </w:divsChild>
    </w:div>
    <w:div w:id="731736584">
      <w:bodyDiv w:val="1"/>
      <w:marLeft w:val="0"/>
      <w:marRight w:val="0"/>
      <w:marTop w:val="0"/>
      <w:marBottom w:val="0"/>
      <w:divBdr>
        <w:top w:val="none" w:sz="0" w:space="0" w:color="auto"/>
        <w:left w:val="none" w:sz="0" w:space="0" w:color="auto"/>
        <w:bottom w:val="none" w:sz="0" w:space="0" w:color="auto"/>
        <w:right w:val="none" w:sz="0" w:space="0" w:color="auto"/>
      </w:divBdr>
      <w:divsChild>
        <w:div w:id="388848022">
          <w:marLeft w:val="0"/>
          <w:marRight w:val="0"/>
          <w:marTop w:val="0"/>
          <w:marBottom w:val="0"/>
          <w:divBdr>
            <w:top w:val="none" w:sz="0" w:space="0" w:color="auto"/>
            <w:left w:val="none" w:sz="0" w:space="0" w:color="auto"/>
            <w:bottom w:val="none" w:sz="0" w:space="0" w:color="auto"/>
            <w:right w:val="none" w:sz="0" w:space="0" w:color="auto"/>
          </w:divBdr>
        </w:div>
        <w:div w:id="1624730300">
          <w:marLeft w:val="0"/>
          <w:marRight w:val="0"/>
          <w:marTop w:val="0"/>
          <w:marBottom w:val="0"/>
          <w:divBdr>
            <w:top w:val="none" w:sz="0" w:space="0" w:color="auto"/>
            <w:left w:val="none" w:sz="0" w:space="0" w:color="auto"/>
            <w:bottom w:val="none" w:sz="0" w:space="0" w:color="auto"/>
            <w:right w:val="none" w:sz="0" w:space="0" w:color="auto"/>
          </w:divBdr>
        </w:div>
        <w:div w:id="1542473037">
          <w:marLeft w:val="0"/>
          <w:marRight w:val="0"/>
          <w:marTop w:val="0"/>
          <w:marBottom w:val="0"/>
          <w:divBdr>
            <w:top w:val="none" w:sz="0" w:space="0" w:color="auto"/>
            <w:left w:val="none" w:sz="0" w:space="0" w:color="auto"/>
            <w:bottom w:val="none" w:sz="0" w:space="0" w:color="auto"/>
            <w:right w:val="none" w:sz="0" w:space="0" w:color="auto"/>
          </w:divBdr>
        </w:div>
      </w:divsChild>
    </w:div>
    <w:div w:id="779296926">
      <w:bodyDiv w:val="1"/>
      <w:marLeft w:val="0"/>
      <w:marRight w:val="0"/>
      <w:marTop w:val="0"/>
      <w:marBottom w:val="0"/>
      <w:divBdr>
        <w:top w:val="none" w:sz="0" w:space="0" w:color="auto"/>
        <w:left w:val="none" w:sz="0" w:space="0" w:color="auto"/>
        <w:bottom w:val="none" w:sz="0" w:space="0" w:color="auto"/>
        <w:right w:val="none" w:sz="0" w:space="0" w:color="auto"/>
      </w:divBdr>
    </w:div>
    <w:div w:id="779684969">
      <w:bodyDiv w:val="1"/>
      <w:marLeft w:val="0"/>
      <w:marRight w:val="0"/>
      <w:marTop w:val="0"/>
      <w:marBottom w:val="0"/>
      <w:divBdr>
        <w:top w:val="none" w:sz="0" w:space="0" w:color="auto"/>
        <w:left w:val="none" w:sz="0" w:space="0" w:color="auto"/>
        <w:bottom w:val="none" w:sz="0" w:space="0" w:color="auto"/>
        <w:right w:val="none" w:sz="0" w:space="0" w:color="auto"/>
      </w:divBdr>
      <w:divsChild>
        <w:div w:id="1100874565">
          <w:marLeft w:val="0"/>
          <w:marRight w:val="0"/>
          <w:marTop w:val="0"/>
          <w:marBottom w:val="0"/>
          <w:divBdr>
            <w:top w:val="none" w:sz="0" w:space="0" w:color="auto"/>
            <w:left w:val="none" w:sz="0" w:space="0" w:color="auto"/>
            <w:bottom w:val="none" w:sz="0" w:space="0" w:color="auto"/>
            <w:right w:val="none" w:sz="0" w:space="0" w:color="auto"/>
          </w:divBdr>
        </w:div>
        <w:div w:id="1970626063">
          <w:marLeft w:val="0"/>
          <w:marRight w:val="0"/>
          <w:marTop w:val="0"/>
          <w:marBottom w:val="0"/>
          <w:divBdr>
            <w:top w:val="none" w:sz="0" w:space="0" w:color="auto"/>
            <w:left w:val="none" w:sz="0" w:space="0" w:color="auto"/>
            <w:bottom w:val="none" w:sz="0" w:space="0" w:color="auto"/>
            <w:right w:val="none" w:sz="0" w:space="0" w:color="auto"/>
          </w:divBdr>
        </w:div>
        <w:div w:id="2049721038">
          <w:marLeft w:val="0"/>
          <w:marRight w:val="0"/>
          <w:marTop w:val="0"/>
          <w:marBottom w:val="0"/>
          <w:divBdr>
            <w:top w:val="none" w:sz="0" w:space="0" w:color="auto"/>
            <w:left w:val="none" w:sz="0" w:space="0" w:color="auto"/>
            <w:bottom w:val="none" w:sz="0" w:space="0" w:color="auto"/>
            <w:right w:val="none" w:sz="0" w:space="0" w:color="auto"/>
          </w:divBdr>
        </w:div>
        <w:div w:id="2070490111">
          <w:marLeft w:val="0"/>
          <w:marRight w:val="0"/>
          <w:marTop w:val="0"/>
          <w:marBottom w:val="0"/>
          <w:divBdr>
            <w:top w:val="none" w:sz="0" w:space="0" w:color="auto"/>
            <w:left w:val="none" w:sz="0" w:space="0" w:color="auto"/>
            <w:bottom w:val="none" w:sz="0" w:space="0" w:color="auto"/>
            <w:right w:val="none" w:sz="0" w:space="0" w:color="auto"/>
          </w:divBdr>
        </w:div>
        <w:div w:id="1662197871">
          <w:marLeft w:val="0"/>
          <w:marRight w:val="0"/>
          <w:marTop w:val="0"/>
          <w:marBottom w:val="0"/>
          <w:divBdr>
            <w:top w:val="none" w:sz="0" w:space="0" w:color="auto"/>
            <w:left w:val="none" w:sz="0" w:space="0" w:color="auto"/>
            <w:bottom w:val="none" w:sz="0" w:space="0" w:color="auto"/>
            <w:right w:val="none" w:sz="0" w:space="0" w:color="auto"/>
          </w:divBdr>
        </w:div>
        <w:div w:id="1438064979">
          <w:marLeft w:val="0"/>
          <w:marRight w:val="0"/>
          <w:marTop w:val="0"/>
          <w:marBottom w:val="0"/>
          <w:divBdr>
            <w:top w:val="none" w:sz="0" w:space="0" w:color="auto"/>
            <w:left w:val="none" w:sz="0" w:space="0" w:color="auto"/>
            <w:bottom w:val="none" w:sz="0" w:space="0" w:color="auto"/>
            <w:right w:val="none" w:sz="0" w:space="0" w:color="auto"/>
          </w:divBdr>
        </w:div>
        <w:div w:id="127668488">
          <w:marLeft w:val="0"/>
          <w:marRight w:val="0"/>
          <w:marTop w:val="0"/>
          <w:marBottom w:val="0"/>
          <w:divBdr>
            <w:top w:val="none" w:sz="0" w:space="0" w:color="auto"/>
            <w:left w:val="none" w:sz="0" w:space="0" w:color="auto"/>
            <w:bottom w:val="none" w:sz="0" w:space="0" w:color="auto"/>
            <w:right w:val="none" w:sz="0" w:space="0" w:color="auto"/>
          </w:divBdr>
        </w:div>
        <w:div w:id="1741322600">
          <w:marLeft w:val="0"/>
          <w:marRight w:val="0"/>
          <w:marTop w:val="0"/>
          <w:marBottom w:val="0"/>
          <w:divBdr>
            <w:top w:val="none" w:sz="0" w:space="0" w:color="auto"/>
            <w:left w:val="none" w:sz="0" w:space="0" w:color="auto"/>
            <w:bottom w:val="none" w:sz="0" w:space="0" w:color="auto"/>
            <w:right w:val="none" w:sz="0" w:space="0" w:color="auto"/>
          </w:divBdr>
        </w:div>
        <w:div w:id="1119572623">
          <w:marLeft w:val="0"/>
          <w:marRight w:val="0"/>
          <w:marTop w:val="0"/>
          <w:marBottom w:val="0"/>
          <w:divBdr>
            <w:top w:val="none" w:sz="0" w:space="0" w:color="auto"/>
            <w:left w:val="none" w:sz="0" w:space="0" w:color="auto"/>
            <w:bottom w:val="none" w:sz="0" w:space="0" w:color="auto"/>
            <w:right w:val="none" w:sz="0" w:space="0" w:color="auto"/>
          </w:divBdr>
        </w:div>
        <w:div w:id="1199052596">
          <w:marLeft w:val="0"/>
          <w:marRight w:val="0"/>
          <w:marTop w:val="0"/>
          <w:marBottom w:val="0"/>
          <w:divBdr>
            <w:top w:val="none" w:sz="0" w:space="0" w:color="auto"/>
            <w:left w:val="none" w:sz="0" w:space="0" w:color="auto"/>
            <w:bottom w:val="none" w:sz="0" w:space="0" w:color="auto"/>
            <w:right w:val="none" w:sz="0" w:space="0" w:color="auto"/>
          </w:divBdr>
        </w:div>
        <w:div w:id="1067847729">
          <w:marLeft w:val="0"/>
          <w:marRight w:val="0"/>
          <w:marTop w:val="0"/>
          <w:marBottom w:val="0"/>
          <w:divBdr>
            <w:top w:val="none" w:sz="0" w:space="0" w:color="auto"/>
            <w:left w:val="none" w:sz="0" w:space="0" w:color="auto"/>
            <w:bottom w:val="none" w:sz="0" w:space="0" w:color="auto"/>
            <w:right w:val="none" w:sz="0" w:space="0" w:color="auto"/>
          </w:divBdr>
        </w:div>
        <w:div w:id="1153833173">
          <w:marLeft w:val="0"/>
          <w:marRight w:val="0"/>
          <w:marTop w:val="0"/>
          <w:marBottom w:val="0"/>
          <w:divBdr>
            <w:top w:val="none" w:sz="0" w:space="0" w:color="auto"/>
            <w:left w:val="none" w:sz="0" w:space="0" w:color="auto"/>
            <w:bottom w:val="none" w:sz="0" w:space="0" w:color="auto"/>
            <w:right w:val="none" w:sz="0" w:space="0" w:color="auto"/>
          </w:divBdr>
        </w:div>
        <w:div w:id="535822962">
          <w:marLeft w:val="0"/>
          <w:marRight w:val="0"/>
          <w:marTop w:val="0"/>
          <w:marBottom w:val="0"/>
          <w:divBdr>
            <w:top w:val="none" w:sz="0" w:space="0" w:color="auto"/>
            <w:left w:val="none" w:sz="0" w:space="0" w:color="auto"/>
            <w:bottom w:val="none" w:sz="0" w:space="0" w:color="auto"/>
            <w:right w:val="none" w:sz="0" w:space="0" w:color="auto"/>
          </w:divBdr>
        </w:div>
        <w:div w:id="1511604747">
          <w:marLeft w:val="0"/>
          <w:marRight w:val="0"/>
          <w:marTop w:val="0"/>
          <w:marBottom w:val="0"/>
          <w:divBdr>
            <w:top w:val="none" w:sz="0" w:space="0" w:color="auto"/>
            <w:left w:val="none" w:sz="0" w:space="0" w:color="auto"/>
            <w:bottom w:val="none" w:sz="0" w:space="0" w:color="auto"/>
            <w:right w:val="none" w:sz="0" w:space="0" w:color="auto"/>
          </w:divBdr>
        </w:div>
        <w:div w:id="818687621">
          <w:marLeft w:val="0"/>
          <w:marRight w:val="0"/>
          <w:marTop w:val="0"/>
          <w:marBottom w:val="0"/>
          <w:divBdr>
            <w:top w:val="none" w:sz="0" w:space="0" w:color="auto"/>
            <w:left w:val="none" w:sz="0" w:space="0" w:color="auto"/>
            <w:bottom w:val="none" w:sz="0" w:space="0" w:color="auto"/>
            <w:right w:val="none" w:sz="0" w:space="0" w:color="auto"/>
          </w:divBdr>
        </w:div>
        <w:div w:id="962424136">
          <w:marLeft w:val="0"/>
          <w:marRight w:val="0"/>
          <w:marTop w:val="0"/>
          <w:marBottom w:val="0"/>
          <w:divBdr>
            <w:top w:val="none" w:sz="0" w:space="0" w:color="auto"/>
            <w:left w:val="none" w:sz="0" w:space="0" w:color="auto"/>
            <w:bottom w:val="none" w:sz="0" w:space="0" w:color="auto"/>
            <w:right w:val="none" w:sz="0" w:space="0" w:color="auto"/>
          </w:divBdr>
        </w:div>
        <w:div w:id="81297191">
          <w:marLeft w:val="0"/>
          <w:marRight w:val="0"/>
          <w:marTop w:val="0"/>
          <w:marBottom w:val="0"/>
          <w:divBdr>
            <w:top w:val="none" w:sz="0" w:space="0" w:color="auto"/>
            <w:left w:val="none" w:sz="0" w:space="0" w:color="auto"/>
            <w:bottom w:val="none" w:sz="0" w:space="0" w:color="auto"/>
            <w:right w:val="none" w:sz="0" w:space="0" w:color="auto"/>
          </w:divBdr>
        </w:div>
        <w:div w:id="922182403">
          <w:marLeft w:val="0"/>
          <w:marRight w:val="0"/>
          <w:marTop w:val="0"/>
          <w:marBottom w:val="0"/>
          <w:divBdr>
            <w:top w:val="none" w:sz="0" w:space="0" w:color="auto"/>
            <w:left w:val="none" w:sz="0" w:space="0" w:color="auto"/>
            <w:bottom w:val="none" w:sz="0" w:space="0" w:color="auto"/>
            <w:right w:val="none" w:sz="0" w:space="0" w:color="auto"/>
          </w:divBdr>
        </w:div>
        <w:div w:id="407775036">
          <w:marLeft w:val="0"/>
          <w:marRight w:val="0"/>
          <w:marTop w:val="0"/>
          <w:marBottom w:val="0"/>
          <w:divBdr>
            <w:top w:val="none" w:sz="0" w:space="0" w:color="auto"/>
            <w:left w:val="none" w:sz="0" w:space="0" w:color="auto"/>
            <w:bottom w:val="none" w:sz="0" w:space="0" w:color="auto"/>
            <w:right w:val="none" w:sz="0" w:space="0" w:color="auto"/>
          </w:divBdr>
        </w:div>
        <w:div w:id="747070329">
          <w:marLeft w:val="0"/>
          <w:marRight w:val="0"/>
          <w:marTop w:val="0"/>
          <w:marBottom w:val="0"/>
          <w:divBdr>
            <w:top w:val="none" w:sz="0" w:space="0" w:color="auto"/>
            <w:left w:val="none" w:sz="0" w:space="0" w:color="auto"/>
            <w:bottom w:val="none" w:sz="0" w:space="0" w:color="auto"/>
            <w:right w:val="none" w:sz="0" w:space="0" w:color="auto"/>
          </w:divBdr>
        </w:div>
        <w:div w:id="806896596">
          <w:marLeft w:val="0"/>
          <w:marRight w:val="0"/>
          <w:marTop w:val="0"/>
          <w:marBottom w:val="0"/>
          <w:divBdr>
            <w:top w:val="none" w:sz="0" w:space="0" w:color="auto"/>
            <w:left w:val="none" w:sz="0" w:space="0" w:color="auto"/>
            <w:bottom w:val="none" w:sz="0" w:space="0" w:color="auto"/>
            <w:right w:val="none" w:sz="0" w:space="0" w:color="auto"/>
          </w:divBdr>
        </w:div>
        <w:div w:id="1080131367">
          <w:marLeft w:val="0"/>
          <w:marRight w:val="0"/>
          <w:marTop w:val="0"/>
          <w:marBottom w:val="0"/>
          <w:divBdr>
            <w:top w:val="none" w:sz="0" w:space="0" w:color="auto"/>
            <w:left w:val="none" w:sz="0" w:space="0" w:color="auto"/>
            <w:bottom w:val="none" w:sz="0" w:space="0" w:color="auto"/>
            <w:right w:val="none" w:sz="0" w:space="0" w:color="auto"/>
          </w:divBdr>
        </w:div>
        <w:div w:id="376930010">
          <w:marLeft w:val="0"/>
          <w:marRight w:val="0"/>
          <w:marTop w:val="0"/>
          <w:marBottom w:val="0"/>
          <w:divBdr>
            <w:top w:val="none" w:sz="0" w:space="0" w:color="auto"/>
            <w:left w:val="none" w:sz="0" w:space="0" w:color="auto"/>
            <w:bottom w:val="none" w:sz="0" w:space="0" w:color="auto"/>
            <w:right w:val="none" w:sz="0" w:space="0" w:color="auto"/>
          </w:divBdr>
        </w:div>
        <w:div w:id="369689987">
          <w:marLeft w:val="0"/>
          <w:marRight w:val="0"/>
          <w:marTop w:val="0"/>
          <w:marBottom w:val="0"/>
          <w:divBdr>
            <w:top w:val="none" w:sz="0" w:space="0" w:color="auto"/>
            <w:left w:val="none" w:sz="0" w:space="0" w:color="auto"/>
            <w:bottom w:val="none" w:sz="0" w:space="0" w:color="auto"/>
            <w:right w:val="none" w:sz="0" w:space="0" w:color="auto"/>
          </w:divBdr>
        </w:div>
        <w:div w:id="248656571">
          <w:marLeft w:val="0"/>
          <w:marRight w:val="0"/>
          <w:marTop w:val="0"/>
          <w:marBottom w:val="0"/>
          <w:divBdr>
            <w:top w:val="none" w:sz="0" w:space="0" w:color="auto"/>
            <w:left w:val="none" w:sz="0" w:space="0" w:color="auto"/>
            <w:bottom w:val="none" w:sz="0" w:space="0" w:color="auto"/>
            <w:right w:val="none" w:sz="0" w:space="0" w:color="auto"/>
          </w:divBdr>
        </w:div>
        <w:div w:id="1299652922">
          <w:marLeft w:val="0"/>
          <w:marRight w:val="0"/>
          <w:marTop w:val="0"/>
          <w:marBottom w:val="0"/>
          <w:divBdr>
            <w:top w:val="none" w:sz="0" w:space="0" w:color="auto"/>
            <w:left w:val="none" w:sz="0" w:space="0" w:color="auto"/>
            <w:bottom w:val="none" w:sz="0" w:space="0" w:color="auto"/>
            <w:right w:val="none" w:sz="0" w:space="0" w:color="auto"/>
          </w:divBdr>
        </w:div>
        <w:div w:id="1203441974">
          <w:marLeft w:val="0"/>
          <w:marRight w:val="0"/>
          <w:marTop w:val="0"/>
          <w:marBottom w:val="0"/>
          <w:divBdr>
            <w:top w:val="none" w:sz="0" w:space="0" w:color="auto"/>
            <w:left w:val="none" w:sz="0" w:space="0" w:color="auto"/>
            <w:bottom w:val="none" w:sz="0" w:space="0" w:color="auto"/>
            <w:right w:val="none" w:sz="0" w:space="0" w:color="auto"/>
          </w:divBdr>
        </w:div>
        <w:div w:id="1616137946">
          <w:marLeft w:val="0"/>
          <w:marRight w:val="0"/>
          <w:marTop w:val="0"/>
          <w:marBottom w:val="0"/>
          <w:divBdr>
            <w:top w:val="none" w:sz="0" w:space="0" w:color="auto"/>
            <w:left w:val="none" w:sz="0" w:space="0" w:color="auto"/>
            <w:bottom w:val="none" w:sz="0" w:space="0" w:color="auto"/>
            <w:right w:val="none" w:sz="0" w:space="0" w:color="auto"/>
          </w:divBdr>
        </w:div>
        <w:div w:id="819659955">
          <w:marLeft w:val="0"/>
          <w:marRight w:val="0"/>
          <w:marTop w:val="0"/>
          <w:marBottom w:val="0"/>
          <w:divBdr>
            <w:top w:val="none" w:sz="0" w:space="0" w:color="auto"/>
            <w:left w:val="none" w:sz="0" w:space="0" w:color="auto"/>
            <w:bottom w:val="none" w:sz="0" w:space="0" w:color="auto"/>
            <w:right w:val="none" w:sz="0" w:space="0" w:color="auto"/>
          </w:divBdr>
        </w:div>
        <w:div w:id="1377074915">
          <w:marLeft w:val="0"/>
          <w:marRight w:val="0"/>
          <w:marTop w:val="0"/>
          <w:marBottom w:val="0"/>
          <w:divBdr>
            <w:top w:val="none" w:sz="0" w:space="0" w:color="auto"/>
            <w:left w:val="none" w:sz="0" w:space="0" w:color="auto"/>
            <w:bottom w:val="none" w:sz="0" w:space="0" w:color="auto"/>
            <w:right w:val="none" w:sz="0" w:space="0" w:color="auto"/>
          </w:divBdr>
        </w:div>
        <w:div w:id="179396345">
          <w:marLeft w:val="0"/>
          <w:marRight w:val="0"/>
          <w:marTop w:val="0"/>
          <w:marBottom w:val="0"/>
          <w:divBdr>
            <w:top w:val="none" w:sz="0" w:space="0" w:color="auto"/>
            <w:left w:val="none" w:sz="0" w:space="0" w:color="auto"/>
            <w:bottom w:val="none" w:sz="0" w:space="0" w:color="auto"/>
            <w:right w:val="none" w:sz="0" w:space="0" w:color="auto"/>
          </w:divBdr>
        </w:div>
        <w:div w:id="743138162">
          <w:marLeft w:val="0"/>
          <w:marRight w:val="0"/>
          <w:marTop w:val="0"/>
          <w:marBottom w:val="0"/>
          <w:divBdr>
            <w:top w:val="none" w:sz="0" w:space="0" w:color="auto"/>
            <w:left w:val="none" w:sz="0" w:space="0" w:color="auto"/>
            <w:bottom w:val="none" w:sz="0" w:space="0" w:color="auto"/>
            <w:right w:val="none" w:sz="0" w:space="0" w:color="auto"/>
          </w:divBdr>
        </w:div>
        <w:div w:id="601914111">
          <w:marLeft w:val="0"/>
          <w:marRight w:val="0"/>
          <w:marTop w:val="0"/>
          <w:marBottom w:val="0"/>
          <w:divBdr>
            <w:top w:val="none" w:sz="0" w:space="0" w:color="auto"/>
            <w:left w:val="none" w:sz="0" w:space="0" w:color="auto"/>
            <w:bottom w:val="none" w:sz="0" w:space="0" w:color="auto"/>
            <w:right w:val="none" w:sz="0" w:space="0" w:color="auto"/>
          </w:divBdr>
        </w:div>
        <w:div w:id="995839830">
          <w:marLeft w:val="0"/>
          <w:marRight w:val="0"/>
          <w:marTop w:val="0"/>
          <w:marBottom w:val="0"/>
          <w:divBdr>
            <w:top w:val="none" w:sz="0" w:space="0" w:color="auto"/>
            <w:left w:val="none" w:sz="0" w:space="0" w:color="auto"/>
            <w:bottom w:val="none" w:sz="0" w:space="0" w:color="auto"/>
            <w:right w:val="none" w:sz="0" w:space="0" w:color="auto"/>
          </w:divBdr>
        </w:div>
        <w:div w:id="758065753">
          <w:marLeft w:val="0"/>
          <w:marRight w:val="0"/>
          <w:marTop w:val="0"/>
          <w:marBottom w:val="0"/>
          <w:divBdr>
            <w:top w:val="none" w:sz="0" w:space="0" w:color="auto"/>
            <w:left w:val="none" w:sz="0" w:space="0" w:color="auto"/>
            <w:bottom w:val="none" w:sz="0" w:space="0" w:color="auto"/>
            <w:right w:val="none" w:sz="0" w:space="0" w:color="auto"/>
          </w:divBdr>
        </w:div>
        <w:div w:id="566260139">
          <w:marLeft w:val="0"/>
          <w:marRight w:val="0"/>
          <w:marTop w:val="0"/>
          <w:marBottom w:val="0"/>
          <w:divBdr>
            <w:top w:val="none" w:sz="0" w:space="0" w:color="auto"/>
            <w:left w:val="none" w:sz="0" w:space="0" w:color="auto"/>
            <w:bottom w:val="none" w:sz="0" w:space="0" w:color="auto"/>
            <w:right w:val="none" w:sz="0" w:space="0" w:color="auto"/>
          </w:divBdr>
        </w:div>
        <w:div w:id="1685009668">
          <w:marLeft w:val="0"/>
          <w:marRight w:val="0"/>
          <w:marTop w:val="0"/>
          <w:marBottom w:val="0"/>
          <w:divBdr>
            <w:top w:val="none" w:sz="0" w:space="0" w:color="auto"/>
            <w:left w:val="none" w:sz="0" w:space="0" w:color="auto"/>
            <w:bottom w:val="none" w:sz="0" w:space="0" w:color="auto"/>
            <w:right w:val="none" w:sz="0" w:space="0" w:color="auto"/>
          </w:divBdr>
        </w:div>
        <w:div w:id="2009206795">
          <w:marLeft w:val="0"/>
          <w:marRight w:val="0"/>
          <w:marTop w:val="0"/>
          <w:marBottom w:val="0"/>
          <w:divBdr>
            <w:top w:val="none" w:sz="0" w:space="0" w:color="auto"/>
            <w:left w:val="none" w:sz="0" w:space="0" w:color="auto"/>
            <w:bottom w:val="none" w:sz="0" w:space="0" w:color="auto"/>
            <w:right w:val="none" w:sz="0" w:space="0" w:color="auto"/>
          </w:divBdr>
        </w:div>
        <w:div w:id="325090188">
          <w:marLeft w:val="0"/>
          <w:marRight w:val="0"/>
          <w:marTop w:val="0"/>
          <w:marBottom w:val="0"/>
          <w:divBdr>
            <w:top w:val="none" w:sz="0" w:space="0" w:color="auto"/>
            <w:left w:val="none" w:sz="0" w:space="0" w:color="auto"/>
            <w:bottom w:val="none" w:sz="0" w:space="0" w:color="auto"/>
            <w:right w:val="none" w:sz="0" w:space="0" w:color="auto"/>
          </w:divBdr>
        </w:div>
        <w:div w:id="1575554303">
          <w:marLeft w:val="0"/>
          <w:marRight w:val="0"/>
          <w:marTop w:val="0"/>
          <w:marBottom w:val="0"/>
          <w:divBdr>
            <w:top w:val="none" w:sz="0" w:space="0" w:color="auto"/>
            <w:left w:val="none" w:sz="0" w:space="0" w:color="auto"/>
            <w:bottom w:val="none" w:sz="0" w:space="0" w:color="auto"/>
            <w:right w:val="none" w:sz="0" w:space="0" w:color="auto"/>
          </w:divBdr>
        </w:div>
        <w:div w:id="727995831">
          <w:marLeft w:val="0"/>
          <w:marRight w:val="0"/>
          <w:marTop w:val="0"/>
          <w:marBottom w:val="0"/>
          <w:divBdr>
            <w:top w:val="none" w:sz="0" w:space="0" w:color="auto"/>
            <w:left w:val="none" w:sz="0" w:space="0" w:color="auto"/>
            <w:bottom w:val="none" w:sz="0" w:space="0" w:color="auto"/>
            <w:right w:val="none" w:sz="0" w:space="0" w:color="auto"/>
          </w:divBdr>
        </w:div>
        <w:div w:id="1569220831">
          <w:marLeft w:val="0"/>
          <w:marRight w:val="0"/>
          <w:marTop w:val="0"/>
          <w:marBottom w:val="0"/>
          <w:divBdr>
            <w:top w:val="none" w:sz="0" w:space="0" w:color="auto"/>
            <w:left w:val="none" w:sz="0" w:space="0" w:color="auto"/>
            <w:bottom w:val="none" w:sz="0" w:space="0" w:color="auto"/>
            <w:right w:val="none" w:sz="0" w:space="0" w:color="auto"/>
          </w:divBdr>
        </w:div>
        <w:div w:id="1822765597">
          <w:marLeft w:val="0"/>
          <w:marRight w:val="0"/>
          <w:marTop w:val="0"/>
          <w:marBottom w:val="0"/>
          <w:divBdr>
            <w:top w:val="none" w:sz="0" w:space="0" w:color="auto"/>
            <w:left w:val="none" w:sz="0" w:space="0" w:color="auto"/>
            <w:bottom w:val="none" w:sz="0" w:space="0" w:color="auto"/>
            <w:right w:val="none" w:sz="0" w:space="0" w:color="auto"/>
          </w:divBdr>
        </w:div>
        <w:div w:id="129859012">
          <w:marLeft w:val="0"/>
          <w:marRight w:val="0"/>
          <w:marTop w:val="0"/>
          <w:marBottom w:val="0"/>
          <w:divBdr>
            <w:top w:val="none" w:sz="0" w:space="0" w:color="auto"/>
            <w:left w:val="none" w:sz="0" w:space="0" w:color="auto"/>
            <w:bottom w:val="none" w:sz="0" w:space="0" w:color="auto"/>
            <w:right w:val="none" w:sz="0" w:space="0" w:color="auto"/>
          </w:divBdr>
        </w:div>
        <w:div w:id="2068797708">
          <w:marLeft w:val="0"/>
          <w:marRight w:val="0"/>
          <w:marTop w:val="0"/>
          <w:marBottom w:val="0"/>
          <w:divBdr>
            <w:top w:val="none" w:sz="0" w:space="0" w:color="auto"/>
            <w:left w:val="none" w:sz="0" w:space="0" w:color="auto"/>
            <w:bottom w:val="none" w:sz="0" w:space="0" w:color="auto"/>
            <w:right w:val="none" w:sz="0" w:space="0" w:color="auto"/>
          </w:divBdr>
        </w:div>
        <w:div w:id="949894351">
          <w:marLeft w:val="0"/>
          <w:marRight w:val="0"/>
          <w:marTop w:val="0"/>
          <w:marBottom w:val="0"/>
          <w:divBdr>
            <w:top w:val="none" w:sz="0" w:space="0" w:color="auto"/>
            <w:left w:val="none" w:sz="0" w:space="0" w:color="auto"/>
            <w:bottom w:val="none" w:sz="0" w:space="0" w:color="auto"/>
            <w:right w:val="none" w:sz="0" w:space="0" w:color="auto"/>
          </w:divBdr>
        </w:div>
        <w:div w:id="1673488109">
          <w:marLeft w:val="0"/>
          <w:marRight w:val="0"/>
          <w:marTop w:val="0"/>
          <w:marBottom w:val="0"/>
          <w:divBdr>
            <w:top w:val="none" w:sz="0" w:space="0" w:color="auto"/>
            <w:left w:val="none" w:sz="0" w:space="0" w:color="auto"/>
            <w:bottom w:val="none" w:sz="0" w:space="0" w:color="auto"/>
            <w:right w:val="none" w:sz="0" w:space="0" w:color="auto"/>
          </w:divBdr>
        </w:div>
        <w:div w:id="724136710">
          <w:marLeft w:val="0"/>
          <w:marRight w:val="0"/>
          <w:marTop w:val="0"/>
          <w:marBottom w:val="0"/>
          <w:divBdr>
            <w:top w:val="none" w:sz="0" w:space="0" w:color="auto"/>
            <w:left w:val="none" w:sz="0" w:space="0" w:color="auto"/>
            <w:bottom w:val="none" w:sz="0" w:space="0" w:color="auto"/>
            <w:right w:val="none" w:sz="0" w:space="0" w:color="auto"/>
          </w:divBdr>
        </w:div>
        <w:div w:id="1366982304">
          <w:marLeft w:val="0"/>
          <w:marRight w:val="0"/>
          <w:marTop w:val="0"/>
          <w:marBottom w:val="0"/>
          <w:divBdr>
            <w:top w:val="none" w:sz="0" w:space="0" w:color="auto"/>
            <w:left w:val="none" w:sz="0" w:space="0" w:color="auto"/>
            <w:bottom w:val="none" w:sz="0" w:space="0" w:color="auto"/>
            <w:right w:val="none" w:sz="0" w:space="0" w:color="auto"/>
          </w:divBdr>
        </w:div>
        <w:div w:id="2077362840">
          <w:marLeft w:val="0"/>
          <w:marRight w:val="0"/>
          <w:marTop w:val="0"/>
          <w:marBottom w:val="0"/>
          <w:divBdr>
            <w:top w:val="none" w:sz="0" w:space="0" w:color="auto"/>
            <w:left w:val="none" w:sz="0" w:space="0" w:color="auto"/>
            <w:bottom w:val="none" w:sz="0" w:space="0" w:color="auto"/>
            <w:right w:val="none" w:sz="0" w:space="0" w:color="auto"/>
          </w:divBdr>
        </w:div>
        <w:div w:id="1636180994">
          <w:marLeft w:val="0"/>
          <w:marRight w:val="0"/>
          <w:marTop w:val="0"/>
          <w:marBottom w:val="0"/>
          <w:divBdr>
            <w:top w:val="none" w:sz="0" w:space="0" w:color="auto"/>
            <w:left w:val="none" w:sz="0" w:space="0" w:color="auto"/>
            <w:bottom w:val="none" w:sz="0" w:space="0" w:color="auto"/>
            <w:right w:val="none" w:sz="0" w:space="0" w:color="auto"/>
          </w:divBdr>
        </w:div>
        <w:div w:id="1661037056">
          <w:marLeft w:val="0"/>
          <w:marRight w:val="0"/>
          <w:marTop w:val="0"/>
          <w:marBottom w:val="0"/>
          <w:divBdr>
            <w:top w:val="none" w:sz="0" w:space="0" w:color="auto"/>
            <w:left w:val="none" w:sz="0" w:space="0" w:color="auto"/>
            <w:bottom w:val="none" w:sz="0" w:space="0" w:color="auto"/>
            <w:right w:val="none" w:sz="0" w:space="0" w:color="auto"/>
          </w:divBdr>
        </w:div>
        <w:div w:id="419300687">
          <w:marLeft w:val="0"/>
          <w:marRight w:val="0"/>
          <w:marTop w:val="0"/>
          <w:marBottom w:val="0"/>
          <w:divBdr>
            <w:top w:val="none" w:sz="0" w:space="0" w:color="auto"/>
            <w:left w:val="none" w:sz="0" w:space="0" w:color="auto"/>
            <w:bottom w:val="none" w:sz="0" w:space="0" w:color="auto"/>
            <w:right w:val="none" w:sz="0" w:space="0" w:color="auto"/>
          </w:divBdr>
        </w:div>
        <w:div w:id="729234043">
          <w:marLeft w:val="0"/>
          <w:marRight w:val="0"/>
          <w:marTop w:val="0"/>
          <w:marBottom w:val="0"/>
          <w:divBdr>
            <w:top w:val="none" w:sz="0" w:space="0" w:color="auto"/>
            <w:left w:val="none" w:sz="0" w:space="0" w:color="auto"/>
            <w:bottom w:val="none" w:sz="0" w:space="0" w:color="auto"/>
            <w:right w:val="none" w:sz="0" w:space="0" w:color="auto"/>
          </w:divBdr>
        </w:div>
        <w:div w:id="515079477">
          <w:marLeft w:val="0"/>
          <w:marRight w:val="0"/>
          <w:marTop w:val="0"/>
          <w:marBottom w:val="0"/>
          <w:divBdr>
            <w:top w:val="none" w:sz="0" w:space="0" w:color="auto"/>
            <w:left w:val="none" w:sz="0" w:space="0" w:color="auto"/>
            <w:bottom w:val="none" w:sz="0" w:space="0" w:color="auto"/>
            <w:right w:val="none" w:sz="0" w:space="0" w:color="auto"/>
          </w:divBdr>
        </w:div>
        <w:div w:id="2117286070">
          <w:marLeft w:val="0"/>
          <w:marRight w:val="0"/>
          <w:marTop w:val="0"/>
          <w:marBottom w:val="0"/>
          <w:divBdr>
            <w:top w:val="none" w:sz="0" w:space="0" w:color="auto"/>
            <w:left w:val="none" w:sz="0" w:space="0" w:color="auto"/>
            <w:bottom w:val="none" w:sz="0" w:space="0" w:color="auto"/>
            <w:right w:val="none" w:sz="0" w:space="0" w:color="auto"/>
          </w:divBdr>
        </w:div>
        <w:div w:id="618879425">
          <w:marLeft w:val="0"/>
          <w:marRight w:val="0"/>
          <w:marTop w:val="0"/>
          <w:marBottom w:val="0"/>
          <w:divBdr>
            <w:top w:val="none" w:sz="0" w:space="0" w:color="auto"/>
            <w:left w:val="none" w:sz="0" w:space="0" w:color="auto"/>
            <w:bottom w:val="none" w:sz="0" w:space="0" w:color="auto"/>
            <w:right w:val="none" w:sz="0" w:space="0" w:color="auto"/>
          </w:divBdr>
        </w:div>
        <w:div w:id="1874465839">
          <w:marLeft w:val="0"/>
          <w:marRight w:val="0"/>
          <w:marTop w:val="0"/>
          <w:marBottom w:val="0"/>
          <w:divBdr>
            <w:top w:val="none" w:sz="0" w:space="0" w:color="auto"/>
            <w:left w:val="none" w:sz="0" w:space="0" w:color="auto"/>
            <w:bottom w:val="none" w:sz="0" w:space="0" w:color="auto"/>
            <w:right w:val="none" w:sz="0" w:space="0" w:color="auto"/>
          </w:divBdr>
        </w:div>
        <w:div w:id="1557549229">
          <w:marLeft w:val="0"/>
          <w:marRight w:val="0"/>
          <w:marTop w:val="0"/>
          <w:marBottom w:val="0"/>
          <w:divBdr>
            <w:top w:val="none" w:sz="0" w:space="0" w:color="auto"/>
            <w:left w:val="none" w:sz="0" w:space="0" w:color="auto"/>
            <w:bottom w:val="none" w:sz="0" w:space="0" w:color="auto"/>
            <w:right w:val="none" w:sz="0" w:space="0" w:color="auto"/>
          </w:divBdr>
        </w:div>
        <w:div w:id="680666769">
          <w:marLeft w:val="0"/>
          <w:marRight w:val="0"/>
          <w:marTop w:val="0"/>
          <w:marBottom w:val="0"/>
          <w:divBdr>
            <w:top w:val="none" w:sz="0" w:space="0" w:color="auto"/>
            <w:left w:val="none" w:sz="0" w:space="0" w:color="auto"/>
            <w:bottom w:val="none" w:sz="0" w:space="0" w:color="auto"/>
            <w:right w:val="none" w:sz="0" w:space="0" w:color="auto"/>
          </w:divBdr>
        </w:div>
        <w:div w:id="447353042">
          <w:marLeft w:val="0"/>
          <w:marRight w:val="0"/>
          <w:marTop w:val="0"/>
          <w:marBottom w:val="0"/>
          <w:divBdr>
            <w:top w:val="none" w:sz="0" w:space="0" w:color="auto"/>
            <w:left w:val="none" w:sz="0" w:space="0" w:color="auto"/>
            <w:bottom w:val="none" w:sz="0" w:space="0" w:color="auto"/>
            <w:right w:val="none" w:sz="0" w:space="0" w:color="auto"/>
          </w:divBdr>
        </w:div>
        <w:div w:id="1326518489">
          <w:marLeft w:val="0"/>
          <w:marRight w:val="0"/>
          <w:marTop w:val="0"/>
          <w:marBottom w:val="0"/>
          <w:divBdr>
            <w:top w:val="none" w:sz="0" w:space="0" w:color="auto"/>
            <w:left w:val="none" w:sz="0" w:space="0" w:color="auto"/>
            <w:bottom w:val="none" w:sz="0" w:space="0" w:color="auto"/>
            <w:right w:val="none" w:sz="0" w:space="0" w:color="auto"/>
          </w:divBdr>
        </w:div>
        <w:div w:id="1761876705">
          <w:marLeft w:val="0"/>
          <w:marRight w:val="0"/>
          <w:marTop w:val="0"/>
          <w:marBottom w:val="0"/>
          <w:divBdr>
            <w:top w:val="none" w:sz="0" w:space="0" w:color="auto"/>
            <w:left w:val="none" w:sz="0" w:space="0" w:color="auto"/>
            <w:bottom w:val="none" w:sz="0" w:space="0" w:color="auto"/>
            <w:right w:val="none" w:sz="0" w:space="0" w:color="auto"/>
          </w:divBdr>
        </w:div>
        <w:div w:id="813906867">
          <w:marLeft w:val="0"/>
          <w:marRight w:val="0"/>
          <w:marTop w:val="0"/>
          <w:marBottom w:val="0"/>
          <w:divBdr>
            <w:top w:val="none" w:sz="0" w:space="0" w:color="auto"/>
            <w:left w:val="none" w:sz="0" w:space="0" w:color="auto"/>
            <w:bottom w:val="none" w:sz="0" w:space="0" w:color="auto"/>
            <w:right w:val="none" w:sz="0" w:space="0" w:color="auto"/>
          </w:divBdr>
        </w:div>
        <w:div w:id="1450275153">
          <w:marLeft w:val="0"/>
          <w:marRight w:val="0"/>
          <w:marTop w:val="0"/>
          <w:marBottom w:val="0"/>
          <w:divBdr>
            <w:top w:val="none" w:sz="0" w:space="0" w:color="auto"/>
            <w:left w:val="none" w:sz="0" w:space="0" w:color="auto"/>
            <w:bottom w:val="none" w:sz="0" w:space="0" w:color="auto"/>
            <w:right w:val="none" w:sz="0" w:space="0" w:color="auto"/>
          </w:divBdr>
        </w:div>
        <w:div w:id="1410806508">
          <w:marLeft w:val="0"/>
          <w:marRight w:val="0"/>
          <w:marTop w:val="0"/>
          <w:marBottom w:val="0"/>
          <w:divBdr>
            <w:top w:val="none" w:sz="0" w:space="0" w:color="auto"/>
            <w:left w:val="none" w:sz="0" w:space="0" w:color="auto"/>
            <w:bottom w:val="none" w:sz="0" w:space="0" w:color="auto"/>
            <w:right w:val="none" w:sz="0" w:space="0" w:color="auto"/>
          </w:divBdr>
        </w:div>
        <w:div w:id="606502418">
          <w:marLeft w:val="0"/>
          <w:marRight w:val="0"/>
          <w:marTop w:val="0"/>
          <w:marBottom w:val="0"/>
          <w:divBdr>
            <w:top w:val="none" w:sz="0" w:space="0" w:color="auto"/>
            <w:left w:val="none" w:sz="0" w:space="0" w:color="auto"/>
            <w:bottom w:val="none" w:sz="0" w:space="0" w:color="auto"/>
            <w:right w:val="none" w:sz="0" w:space="0" w:color="auto"/>
          </w:divBdr>
        </w:div>
        <w:div w:id="844200984">
          <w:marLeft w:val="0"/>
          <w:marRight w:val="0"/>
          <w:marTop w:val="0"/>
          <w:marBottom w:val="0"/>
          <w:divBdr>
            <w:top w:val="none" w:sz="0" w:space="0" w:color="auto"/>
            <w:left w:val="none" w:sz="0" w:space="0" w:color="auto"/>
            <w:bottom w:val="none" w:sz="0" w:space="0" w:color="auto"/>
            <w:right w:val="none" w:sz="0" w:space="0" w:color="auto"/>
          </w:divBdr>
        </w:div>
        <w:div w:id="1505316733">
          <w:marLeft w:val="0"/>
          <w:marRight w:val="0"/>
          <w:marTop w:val="0"/>
          <w:marBottom w:val="0"/>
          <w:divBdr>
            <w:top w:val="none" w:sz="0" w:space="0" w:color="auto"/>
            <w:left w:val="none" w:sz="0" w:space="0" w:color="auto"/>
            <w:bottom w:val="none" w:sz="0" w:space="0" w:color="auto"/>
            <w:right w:val="none" w:sz="0" w:space="0" w:color="auto"/>
          </w:divBdr>
        </w:div>
        <w:div w:id="484049542">
          <w:marLeft w:val="0"/>
          <w:marRight w:val="0"/>
          <w:marTop w:val="0"/>
          <w:marBottom w:val="0"/>
          <w:divBdr>
            <w:top w:val="none" w:sz="0" w:space="0" w:color="auto"/>
            <w:left w:val="none" w:sz="0" w:space="0" w:color="auto"/>
            <w:bottom w:val="none" w:sz="0" w:space="0" w:color="auto"/>
            <w:right w:val="none" w:sz="0" w:space="0" w:color="auto"/>
          </w:divBdr>
        </w:div>
        <w:div w:id="1558056356">
          <w:marLeft w:val="0"/>
          <w:marRight w:val="0"/>
          <w:marTop w:val="0"/>
          <w:marBottom w:val="0"/>
          <w:divBdr>
            <w:top w:val="none" w:sz="0" w:space="0" w:color="auto"/>
            <w:left w:val="none" w:sz="0" w:space="0" w:color="auto"/>
            <w:bottom w:val="none" w:sz="0" w:space="0" w:color="auto"/>
            <w:right w:val="none" w:sz="0" w:space="0" w:color="auto"/>
          </w:divBdr>
        </w:div>
        <w:div w:id="1560747216">
          <w:marLeft w:val="0"/>
          <w:marRight w:val="0"/>
          <w:marTop w:val="0"/>
          <w:marBottom w:val="0"/>
          <w:divBdr>
            <w:top w:val="none" w:sz="0" w:space="0" w:color="auto"/>
            <w:left w:val="none" w:sz="0" w:space="0" w:color="auto"/>
            <w:bottom w:val="none" w:sz="0" w:space="0" w:color="auto"/>
            <w:right w:val="none" w:sz="0" w:space="0" w:color="auto"/>
          </w:divBdr>
        </w:div>
        <w:div w:id="1745683368">
          <w:marLeft w:val="0"/>
          <w:marRight w:val="0"/>
          <w:marTop w:val="0"/>
          <w:marBottom w:val="0"/>
          <w:divBdr>
            <w:top w:val="none" w:sz="0" w:space="0" w:color="auto"/>
            <w:left w:val="none" w:sz="0" w:space="0" w:color="auto"/>
            <w:bottom w:val="none" w:sz="0" w:space="0" w:color="auto"/>
            <w:right w:val="none" w:sz="0" w:space="0" w:color="auto"/>
          </w:divBdr>
        </w:div>
        <w:div w:id="1041706378">
          <w:marLeft w:val="0"/>
          <w:marRight w:val="0"/>
          <w:marTop w:val="0"/>
          <w:marBottom w:val="0"/>
          <w:divBdr>
            <w:top w:val="none" w:sz="0" w:space="0" w:color="auto"/>
            <w:left w:val="none" w:sz="0" w:space="0" w:color="auto"/>
            <w:bottom w:val="none" w:sz="0" w:space="0" w:color="auto"/>
            <w:right w:val="none" w:sz="0" w:space="0" w:color="auto"/>
          </w:divBdr>
        </w:div>
        <w:div w:id="215434201">
          <w:marLeft w:val="0"/>
          <w:marRight w:val="0"/>
          <w:marTop w:val="0"/>
          <w:marBottom w:val="0"/>
          <w:divBdr>
            <w:top w:val="none" w:sz="0" w:space="0" w:color="auto"/>
            <w:left w:val="none" w:sz="0" w:space="0" w:color="auto"/>
            <w:bottom w:val="none" w:sz="0" w:space="0" w:color="auto"/>
            <w:right w:val="none" w:sz="0" w:space="0" w:color="auto"/>
          </w:divBdr>
        </w:div>
        <w:div w:id="181866918">
          <w:marLeft w:val="0"/>
          <w:marRight w:val="0"/>
          <w:marTop w:val="0"/>
          <w:marBottom w:val="0"/>
          <w:divBdr>
            <w:top w:val="none" w:sz="0" w:space="0" w:color="auto"/>
            <w:left w:val="none" w:sz="0" w:space="0" w:color="auto"/>
            <w:bottom w:val="none" w:sz="0" w:space="0" w:color="auto"/>
            <w:right w:val="none" w:sz="0" w:space="0" w:color="auto"/>
          </w:divBdr>
        </w:div>
        <w:div w:id="658309712">
          <w:marLeft w:val="0"/>
          <w:marRight w:val="0"/>
          <w:marTop w:val="0"/>
          <w:marBottom w:val="0"/>
          <w:divBdr>
            <w:top w:val="none" w:sz="0" w:space="0" w:color="auto"/>
            <w:left w:val="none" w:sz="0" w:space="0" w:color="auto"/>
            <w:bottom w:val="none" w:sz="0" w:space="0" w:color="auto"/>
            <w:right w:val="none" w:sz="0" w:space="0" w:color="auto"/>
          </w:divBdr>
        </w:div>
        <w:div w:id="1160849268">
          <w:marLeft w:val="0"/>
          <w:marRight w:val="0"/>
          <w:marTop w:val="0"/>
          <w:marBottom w:val="0"/>
          <w:divBdr>
            <w:top w:val="none" w:sz="0" w:space="0" w:color="auto"/>
            <w:left w:val="none" w:sz="0" w:space="0" w:color="auto"/>
            <w:bottom w:val="none" w:sz="0" w:space="0" w:color="auto"/>
            <w:right w:val="none" w:sz="0" w:space="0" w:color="auto"/>
          </w:divBdr>
        </w:div>
        <w:div w:id="580069120">
          <w:marLeft w:val="0"/>
          <w:marRight w:val="0"/>
          <w:marTop w:val="0"/>
          <w:marBottom w:val="0"/>
          <w:divBdr>
            <w:top w:val="none" w:sz="0" w:space="0" w:color="auto"/>
            <w:left w:val="none" w:sz="0" w:space="0" w:color="auto"/>
            <w:bottom w:val="none" w:sz="0" w:space="0" w:color="auto"/>
            <w:right w:val="none" w:sz="0" w:space="0" w:color="auto"/>
          </w:divBdr>
        </w:div>
        <w:div w:id="727922483">
          <w:marLeft w:val="0"/>
          <w:marRight w:val="0"/>
          <w:marTop w:val="0"/>
          <w:marBottom w:val="0"/>
          <w:divBdr>
            <w:top w:val="none" w:sz="0" w:space="0" w:color="auto"/>
            <w:left w:val="none" w:sz="0" w:space="0" w:color="auto"/>
            <w:bottom w:val="none" w:sz="0" w:space="0" w:color="auto"/>
            <w:right w:val="none" w:sz="0" w:space="0" w:color="auto"/>
          </w:divBdr>
        </w:div>
        <w:div w:id="898440968">
          <w:marLeft w:val="0"/>
          <w:marRight w:val="0"/>
          <w:marTop w:val="0"/>
          <w:marBottom w:val="0"/>
          <w:divBdr>
            <w:top w:val="none" w:sz="0" w:space="0" w:color="auto"/>
            <w:left w:val="none" w:sz="0" w:space="0" w:color="auto"/>
            <w:bottom w:val="none" w:sz="0" w:space="0" w:color="auto"/>
            <w:right w:val="none" w:sz="0" w:space="0" w:color="auto"/>
          </w:divBdr>
        </w:div>
        <w:div w:id="11033850">
          <w:marLeft w:val="0"/>
          <w:marRight w:val="0"/>
          <w:marTop w:val="0"/>
          <w:marBottom w:val="0"/>
          <w:divBdr>
            <w:top w:val="none" w:sz="0" w:space="0" w:color="auto"/>
            <w:left w:val="none" w:sz="0" w:space="0" w:color="auto"/>
            <w:bottom w:val="none" w:sz="0" w:space="0" w:color="auto"/>
            <w:right w:val="none" w:sz="0" w:space="0" w:color="auto"/>
          </w:divBdr>
        </w:div>
        <w:div w:id="45564748">
          <w:marLeft w:val="0"/>
          <w:marRight w:val="0"/>
          <w:marTop w:val="0"/>
          <w:marBottom w:val="0"/>
          <w:divBdr>
            <w:top w:val="none" w:sz="0" w:space="0" w:color="auto"/>
            <w:left w:val="none" w:sz="0" w:space="0" w:color="auto"/>
            <w:bottom w:val="none" w:sz="0" w:space="0" w:color="auto"/>
            <w:right w:val="none" w:sz="0" w:space="0" w:color="auto"/>
          </w:divBdr>
        </w:div>
        <w:div w:id="1417168495">
          <w:marLeft w:val="0"/>
          <w:marRight w:val="0"/>
          <w:marTop w:val="0"/>
          <w:marBottom w:val="0"/>
          <w:divBdr>
            <w:top w:val="none" w:sz="0" w:space="0" w:color="auto"/>
            <w:left w:val="none" w:sz="0" w:space="0" w:color="auto"/>
            <w:bottom w:val="none" w:sz="0" w:space="0" w:color="auto"/>
            <w:right w:val="none" w:sz="0" w:space="0" w:color="auto"/>
          </w:divBdr>
        </w:div>
        <w:div w:id="670596582">
          <w:marLeft w:val="0"/>
          <w:marRight w:val="0"/>
          <w:marTop w:val="0"/>
          <w:marBottom w:val="0"/>
          <w:divBdr>
            <w:top w:val="none" w:sz="0" w:space="0" w:color="auto"/>
            <w:left w:val="none" w:sz="0" w:space="0" w:color="auto"/>
            <w:bottom w:val="none" w:sz="0" w:space="0" w:color="auto"/>
            <w:right w:val="none" w:sz="0" w:space="0" w:color="auto"/>
          </w:divBdr>
        </w:div>
        <w:div w:id="368341261">
          <w:marLeft w:val="0"/>
          <w:marRight w:val="0"/>
          <w:marTop w:val="0"/>
          <w:marBottom w:val="0"/>
          <w:divBdr>
            <w:top w:val="none" w:sz="0" w:space="0" w:color="auto"/>
            <w:left w:val="none" w:sz="0" w:space="0" w:color="auto"/>
            <w:bottom w:val="none" w:sz="0" w:space="0" w:color="auto"/>
            <w:right w:val="none" w:sz="0" w:space="0" w:color="auto"/>
          </w:divBdr>
        </w:div>
      </w:divsChild>
    </w:div>
    <w:div w:id="802039623">
      <w:bodyDiv w:val="1"/>
      <w:marLeft w:val="0"/>
      <w:marRight w:val="0"/>
      <w:marTop w:val="0"/>
      <w:marBottom w:val="0"/>
      <w:divBdr>
        <w:top w:val="none" w:sz="0" w:space="0" w:color="auto"/>
        <w:left w:val="none" w:sz="0" w:space="0" w:color="auto"/>
        <w:bottom w:val="none" w:sz="0" w:space="0" w:color="auto"/>
        <w:right w:val="none" w:sz="0" w:space="0" w:color="auto"/>
      </w:divBdr>
      <w:divsChild>
        <w:div w:id="2027322913">
          <w:marLeft w:val="0"/>
          <w:marRight w:val="0"/>
          <w:marTop w:val="0"/>
          <w:marBottom w:val="0"/>
          <w:divBdr>
            <w:top w:val="none" w:sz="0" w:space="0" w:color="auto"/>
            <w:left w:val="none" w:sz="0" w:space="0" w:color="auto"/>
            <w:bottom w:val="none" w:sz="0" w:space="0" w:color="auto"/>
            <w:right w:val="none" w:sz="0" w:space="0" w:color="auto"/>
          </w:divBdr>
        </w:div>
        <w:div w:id="1854956125">
          <w:marLeft w:val="0"/>
          <w:marRight w:val="0"/>
          <w:marTop w:val="0"/>
          <w:marBottom w:val="0"/>
          <w:divBdr>
            <w:top w:val="none" w:sz="0" w:space="0" w:color="auto"/>
            <w:left w:val="none" w:sz="0" w:space="0" w:color="auto"/>
            <w:bottom w:val="none" w:sz="0" w:space="0" w:color="auto"/>
            <w:right w:val="none" w:sz="0" w:space="0" w:color="auto"/>
          </w:divBdr>
        </w:div>
        <w:div w:id="621688525">
          <w:marLeft w:val="0"/>
          <w:marRight w:val="0"/>
          <w:marTop w:val="0"/>
          <w:marBottom w:val="0"/>
          <w:divBdr>
            <w:top w:val="none" w:sz="0" w:space="0" w:color="auto"/>
            <w:left w:val="none" w:sz="0" w:space="0" w:color="auto"/>
            <w:bottom w:val="none" w:sz="0" w:space="0" w:color="auto"/>
            <w:right w:val="none" w:sz="0" w:space="0" w:color="auto"/>
          </w:divBdr>
        </w:div>
        <w:div w:id="1687291042">
          <w:marLeft w:val="0"/>
          <w:marRight w:val="0"/>
          <w:marTop w:val="0"/>
          <w:marBottom w:val="0"/>
          <w:divBdr>
            <w:top w:val="none" w:sz="0" w:space="0" w:color="auto"/>
            <w:left w:val="none" w:sz="0" w:space="0" w:color="auto"/>
            <w:bottom w:val="none" w:sz="0" w:space="0" w:color="auto"/>
            <w:right w:val="none" w:sz="0" w:space="0" w:color="auto"/>
          </w:divBdr>
        </w:div>
        <w:div w:id="1376392832">
          <w:marLeft w:val="0"/>
          <w:marRight w:val="0"/>
          <w:marTop w:val="0"/>
          <w:marBottom w:val="0"/>
          <w:divBdr>
            <w:top w:val="none" w:sz="0" w:space="0" w:color="auto"/>
            <w:left w:val="none" w:sz="0" w:space="0" w:color="auto"/>
            <w:bottom w:val="none" w:sz="0" w:space="0" w:color="auto"/>
            <w:right w:val="none" w:sz="0" w:space="0" w:color="auto"/>
          </w:divBdr>
        </w:div>
      </w:divsChild>
    </w:div>
    <w:div w:id="939263260">
      <w:bodyDiv w:val="1"/>
      <w:marLeft w:val="0"/>
      <w:marRight w:val="0"/>
      <w:marTop w:val="0"/>
      <w:marBottom w:val="0"/>
      <w:divBdr>
        <w:top w:val="none" w:sz="0" w:space="0" w:color="auto"/>
        <w:left w:val="none" w:sz="0" w:space="0" w:color="auto"/>
        <w:bottom w:val="none" w:sz="0" w:space="0" w:color="auto"/>
        <w:right w:val="none" w:sz="0" w:space="0" w:color="auto"/>
      </w:divBdr>
      <w:divsChild>
        <w:div w:id="1347054112">
          <w:marLeft w:val="0"/>
          <w:marRight w:val="0"/>
          <w:marTop w:val="0"/>
          <w:marBottom w:val="0"/>
          <w:divBdr>
            <w:top w:val="none" w:sz="0" w:space="0" w:color="auto"/>
            <w:left w:val="none" w:sz="0" w:space="0" w:color="auto"/>
            <w:bottom w:val="none" w:sz="0" w:space="0" w:color="auto"/>
            <w:right w:val="none" w:sz="0" w:space="0" w:color="auto"/>
          </w:divBdr>
        </w:div>
        <w:div w:id="1909538671">
          <w:marLeft w:val="0"/>
          <w:marRight w:val="0"/>
          <w:marTop w:val="0"/>
          <w:marBottom w:val="0"/>
          <w:divBdr>
            <w:top w:val="none" w:sz="0" w:space="0" w:color="auto"/>
            <w:left w:val="none" w:sz="0" w:space="0" w:color="auto"/>
            <w:bottom w:val="none" w:sz="0" w:space="0" w:color="auto"/>
            <w:right w:val="none" w:sz="0" w:space="0" w:color="auto"/>
          </w:divBdr>
        </w:div>
        <w:div w:id="645429611">
          <w:marLeft w:val="0"/>
          <w:marRight w:val="0"/>
          <w:marTop w:val="0"/>
          <w:marBottom w:val="0"/>
          <w:divBdr>
            <w:top w:val="none" w:sz="0" w:space="0" w:color="auto"/>
            <w:left w:val="none" w:sz="0" w:space="0" w:color="auto"/>
            <w:bottom w:val="none" w:sz="0" w:space="0" w:color="auto"/>
            <w:right w:val="none" w:sz="0" w:space="0" w:color="auto"/>
          </w:divBdr>
        </w:div>
        <w:div w:id="498892170">
          <w:marLeft w:val="0"/>
          <w:marRight w:val="0"/>
          <w:marTop w:val="0"/>
          <w:marBottom w:val="0"/>
          <w:divBdr>
            <w:top w:val="none" w:sz="0" w:space="0" w:color="auto"/>
            <w:left w:val="none" w:sz="0" w:space="0" w:color="auto"/>
            <w:bottom w:val="none" w:sz="0" w:space="0" w:color="auto"/>
            <w:right w:val="none" w:sz="0" w:space="0" w:color="auto"/>
          </w:divBdr>
        </w:div>
        <w:div w:id="1423453694">
          <w:marLeft w:val="0"/>
          <w:marRight w:val="0"/>
          <w:marTop w:val="0"/>
          <w:marBottom w:val="0"/>
          <w:divBdr>
            <w:top w:val="none" w:sz="0" w:space="0" w:color="auto"/>
            <w:left w:val="none" w:sz="0" w:space="0" w:color="auto"/>
            <w:bottom w:val="none" w:sz="0" w:space="0" w:color="auto"/>
            <w:right w:val="none" w:sz="0" w:space="0" w:color="auto"/>
          </w:divBdr>
        </w:div>
        <w:div w:id="1930772916">
          <w:marLeft w:val="0"/>
          <w:marRight w:val="0"/>
          <w:marTop w:val="0"/>
          <w:marBottom w:val="0"/>
          <w:divBdr>
            <w:top w:val="none" w:sz="0" w:space="0" w:color="auto"/>
            <w:left w:val="none" w:sz="0" w:space="0" w:color="auto"/>
            <w:bottom w:val="none" w:sz="0" w:space="0" w:color="auto"/>
            <w:right w:val="none" w:sz="0" w:space="0" w:color="auto"/>
          </w:divBdr>
        </w:div>
      </w:divsChild>
    </w:div>
    <w:div w:id="1162549166">
      <w:bodyDiv w:val="1"/>
      <w:marLeft w:val="0"/>
      <w:marRight w:val="0"/>
      <w:marTop w:val="0"/>
      <w:marBottom w:val="0"/>
      <w:divBdr>
        <w:top w:val="none" w:sz="0" w:space="0" w:color="auto"/>
        <w:left w:val="none" w:sz="0" w:space="0" w:color="auto"/>
        <w:bottom w:val="none" w:sz="0" w:space="0" w:color="auto"/>
        <w:right w:val="none" w:sz="0" w:space="0" w:color="auto"/>
      </w:divBdr>
    </w:div>
    <w:div w:id="1184975817">
      <w:bodyDiv w:val="1"/>
      <w:marLeft w:val="0"/>
      <w:marRight w:val="0"/>
      <w:marTop w:val="0"/>
      <w:marBottom w:val="0"/>
      <w:divBdr>
        <w:top w:val="none" w:sz="0" w:space="0" w:color="auto"/>
        <w:left w:val="none" w:sz="0" w:space="0" w:color="auto"/>
        <w:bottom w:val="none" w:sz="0" w:space="0" w:color="auto"/>
        <w:right w:val="none" w:sz="0" w:space="0" w:color="auto"/>
      </w:divBdr>
      <w:divsChild>
        <w:div w:id="700125842">
          <w:marLeft w:val="0"/>
          <w:marRight w:val="0"/>
          <w:marTop w:val="0"/>
          <w:marBottom w:val="0"/>
          <w:divBdr>
            <w:top w:val="none" w:sz="0" w:space="0" w:color="auto"/>
            <w:left w:val="none" w:sz="0" w:space="0" w:color="auto"/>
            <w:bottom w:val="none" w:sz="0" w:space="0" w:color="auto"/>
            <w:right w:val="none" w:sz="0" w:space="0" w:color="auto"/>
          </w:divBdr>
        </w:div>
        <w:div w:id="1825009690">
          <w:marLeft w:val="0"/>
          <w:marRight w:val="0"/>
          <w:marTop w:val="0"/>
          <w:marBottom w:val="0"/>
          <w:divBdr>
            <w:top w:val="none" w:sz="0" w:space="0" w:color="auto"/>
            <w:left w:val="none" w:sz="0" w:space="0" w:color="auto"/>
            <w:bottom w:val="none" w:sz="0" w:space="0" w:color="auto"/>
            <w:right w:val="none" w:sz="0" w:space="0" w:color="auto"/>
          </w:divBdr>
        </w:div>
        <w:div w:id="1298871602">
          <w:marLeft w:val="0"/>
          <w:marRight w:val="0"/>
          <w:marTop w:val="0"/>
          <w:marBottom w:val="0"/>
          <w:divBdr>
            <w:top w:val="none" w:sz="0" w:space="0" w:color="auto"/>
            <w:left w:val="none" w:sz="0" w:space="0" w:color="auto"/>
            <w:bottom w:val="none" w:sz="0" w:space="0" w:color="auto"/>
            <w:right w:val="none" w:sz="0" w:space="0" w:color="auto"/>
          </w:divBdr>
        </w:div>
        <w:div w:id="1353796723">
          <w:marLeft w:val="0"/>
          <w:marRight w:val="0"/>
          <w:marTop w:val="0"/>
          <w:marBottom w:val="0"/>
          <w:divBdr>
            <w:top w:val="none" w:sz="0" w:space="0" w:color="auto"/>
            <w:left w:val="none" w:sz="0" w:space="0" w:color="auto"/>
            <w:bottom w:val="none" w:sz="0" w:space="0" w:color="auto"/>
            <w:right w:val="none" w:sz="0" w:space="0" w:color="auto"/>
          </w:divBdr>
        </w:div>
        <w:div w:id="1923443400">
          <w:marLeft w:val="0"/>
          <w:marRight w:val="0"/>
          <w:marTop w:val="0"/>
          <w:marBottom w:val="0"/>
          <w:divBdr>
            <w:top w:val="none" w:sz="0" w:space="0" w:color="auto"/>
            <w:left w:val="none" w:sz="0" w:space="0" w:color="auto"/>
            <w:bottom w:val="none" w:sz="0" w:space="0" w:color="auto"/>
            <w:right w:val="none" w:sz="0" w:space="0" w:color="auto"/>
          </w:divBdr>
        </w:div>
        <w:div w:id="453983061">
          <w:marLeft w:val="0"/>
          <w:marRight w:val="0"/>
          <w:marTop w:val="0"/>
          <w:marBottom w:val="0"/>
          <w:divBdr>
            <w:top w:val="none" w:sz="0" w:space="0" w:color="auto"/>
            <w:left w:val="none" w:sz="0" w:space="0" w:color="auto"/>
            <w:bottom w:val="none" w:sz="0" w:space="0" w:color="auto"/>
            <w:right w:val="none" w:sz="0" w:space="0" w:color="auto"/>
          </w:divBdr>
        </w:div>
        <w:div w:id="1316884570">
          <w:marLeft w:val="0"/>
          <w:marRight w:val="0"/>
          <w:marTop w:val="0"/>
          <w:marBottom w:val="0"/>
          <w:divBdr>
            <w:top w:val="none" w:sz="0" w:space="0" w:color="auto"/>
            <w:left w:val="none" w:sz="0" w:space="0" w:color="auto"/>
            <w:bottom w:val="none" w:sz="0" w:space="0" w:color="auto"/>
            <w:right w:val="none" w:sz="0" w:space="0" w:color="auto"/>
          </w:divBdr>
        </w:div>
        <w:div w:id="1381972826">
          <w:marLeft w:val="0"/>
          <w:marRight w:val="0"/>
          <w:marTop w:val="0"/>
          <w:marBottom w:val="0"/>
          <w:divBdr>
            <w:top w:val="none" w:sz="0" w:space="0" w:color="auto"/>
            <w:left w:val="none" w:sz="0" w:space="0" w:color="auto"/>
            <w:bottom w:val="none" w:sz="0" w:space="0" w:color="auto"/>
            <w:right w:val="none" w:sz="0" w:space="0" w:color="auto"/>
          </w:divBdr>
        </w:div>
        <w:div w:id="96412637">
          <w:marLeft w:val="0"/>
          <w:marRight w:val="0"/>
          <w:marTop w:val="0"/>
          <w:marBottom w:val="0"/>
          <w:divBdr>
            <w:top w:val="none" w:sz="0" w:space="0" w:color="auto"/>
            <w:left w:val="none" w:sz="0" w:space="0" w:color="auto"/>
            <w:bottom w:val="none" w:sz="0" w:space="0" w:color="auto"/>
            <w:right w:val="none" w:sz="0" w:space="0" w:color="auto"/>
          </w:divBdr>
        </w:div>
        <w:div w:id="1880588180">
          <w:marLeft w:val="0"/>
          <w:marRight w:val="0"/>
          <w:marTop w:val="0"/>
          <w:marBottom w:val="0"/>
          <w:divBdr>
            <w:top w:val="none" w:sz="0" w:space="0" w:color="auto"/>
            <w:left w:val="none" w:sz="0" w:space="0" w:color="auto"/>
            <w:bottom w:val="none" w:sz="0" w:space="0" w:color="auto"/>
            <w:right w:val="none" w:sz="0" w:space="0" w:color="auto"/>
          </w:divBdr>
        </w:div>
        <w:div w:id="143010154">
          <w:marLeft w:val="0"/>
          <w:marRight w:val="0"/>
          <w:marTop w:val="0"/>
          <w:marBottom w:val="0"/>
          <w:divBdr>
            <w:top w:val="none" w:sz="0" w:space="0" w:color="auto"/>
            <w:left w:val="none" w:sz="0" w:space="0" w:color="auto"/>
            <w:bottom w:val="none" w:sz="0" w:space="0" w:color="auto"/>
            <w:right w:val="none" w:sz="0" w:space="0" w:color="auto"/>
          </w:divBdr>
        </w:div>
        <w:div w:id="1317538158">
          <w:marLeft w:val="0"/>
          <w:marRight w:val="0"/>
          <w:marTop w:val="0"/>
          <w:marBottom w:val="0"/>
          <w:divBdr>
            <w:top w:val="none" w:sz="0" w:space="0" w:color="auto"/>
            <w:left w:val="none" w:sz="0" w:space="0" w:color="auto"/>
            <w:bottom w:val="none" w:sz="0" w:space="0" w:color="auto"/>
            <w:right w:val="none" w:sz="0" w:space="0" w:color="auto"/>
          </w:divBdr>
        </w:div>
      </w:divsChild>
    </w:div>
    <w:div w:id="1220746947">
      <w:bodyDiv w:val="1"/>
      <w:marLeft w:val="0"/>
      <w:marRight w:val="0"/>
      <w:marTop w:val="0"/>
      <w:marBottom w:val="0"/>
      <w:divBdr>
        <w:top w:val="none" w:sz="0" w:space="0" w:color="auto"/>
        <w:left w:val="none" w:sz="0" w:space="0" w:color="auto"/>
        <w:bottom w:val="none" w:sz="0" w:space="0" w:color="auto"/>
        <w:right w:val="none" w:sz="0" w:space="0" w:color="auto"/>
      </w:divBdr>
    </w:div>
    <w:div w:id="1378047836">
      <w:bodyDiv w:val="1"/>
      <w:marLeft w:val="0"/>
      <w:marRight w:val="0"/>
      <w:marTop w:val="0"/>
      <w:marBottom w:val="0"/>
      <w:divBdr>
        <w:top w:val="none" w:sz="0" w:space="0" w:color="auto"/>
        <w:left w:val="none" w:sz="0" w:space="0" w:color="auto"/>
        <w:bottom w:val="none" w:sz="0" w:space="0" w:color="auto"/>
        <w:right w:val="none" w:sz="0" w:space="0" w:color="auto"/>
      </w:divBdr>
    </w:div>
    <w:div w:id="1390029248">
      <w:bodyDiv w:val="1"/>
      <w:marLeft w:val="0"/>
      <w:marRight w:val="0"/>
      <w:marTop w:val="0"/>
      <w:marBottom w:val="0"/>
      <w:divBdr>
        <w:top w:val="none" w:sz="0" w:space="0" w:color="auto"/>
        <w:left w:val="none" w:sz="0" w:space="0" w:color="auto"/>
        <w:bottom w:val="none" w:sz="0" w:space="0" w:color="auto"/>
        <w:right w:val="none" w:sz="0" w:space="0" w:color="auto"/>
      </w:divBdr>
      <w:divsChild>
        <w:div w:id="1000504227">
          <w:marLeft w:val="0"/>
          <w:marRight w:val="0"/>
          <w:marTop w:val="0"/>
          <w:marBottom w:val="0"/>
          <w:divBdr>
            <w:top w:val="none" w:sz="0" w:space="0" w:color="auto"/>
            <w:left w:val="none" w:sz="0" w:space="0" w:color="auto"/>
            <w:bottom w:val="none" w:sz="0" w:space="0" w:color="auto"/>
            <w:right w:val="none" w:sz="0" w:space="0" w:color="auto"/>
          </w:divBdr>
        </w:div>
        <w:div w:id="1087968838">
          <w:marLeft w:val="0"/>
          <w:marRight w:val="0"/>
          <w:marTop w:val="0"/>
          <w:marBottom w:val="0"/>
          <w:divBdr>
            <w:top w:val="none" w:sz="0" w:space="0" w:color="auto"/>
            <w:left w:val="none" w:sz="0" w:space="0" w:color="auto"/>
            <w:bottom w:val="none" w:sz="0" w:space="0" w:color="auto"/>
            <w:right w:val="none" w:sz="0" w:space="0" w:color="auto"/>
          </w:divBdr>
        </w:div>
        <w:div w:id="409011037">
          <w:marLeft w:val="0"/>
          <w:marRight w:val="0"/>
          <w:marTop w:val="0"/>
          <w:marBottom w:val="0"/>
          <w:divBdr>
            <w:top w:val="none" w:sz="0" w:space="0" w:color="auto"/>
            <w:left w:val="none" w:sz="0" w:space="0" w:color="auto"/>
            <w:bottom w:val="none" w:sz="0" w:space="0" w:color="auto"/>
            <w:right w:val="none" w:sz="0" w:space="0" w:color="auto"/>
          </w:divBdr>
        </w:div>
        <w:div w:id="500852889">
          <w:marLeft w:val="0"/>
          <w:marRight w:val="0"/>
          <w:marTop w:val="0"/>
          <w:marBottom w:val="0"/>
          <w:divBdr>
            <w:top w:val="none" w:sz="0" w:space="0" w:color="auto"/>
            <w:left w:val="none" w:sz="0" w:space="0" w:color="auto"/>
            <w:bottom w:val="none" w:sz="0" w:space="0" w:color="auto"/>
            <w:right w:val="none" w:sz="0" w:space="0" w:color="auto"/>
          </w:divBdr>
        </w:div>
        <w:div w:id="1746879885">
          <w:marLeft w:val="0"/>
          <w:marRight w:val="0"/>
          <w:marTop w:val="0"/>
          <w:marBottom w:val="0"/>
          <w:divBdr>
            <w:top w:val="none" w:sz="0" w:space="0" w:color="auto"/>
            <w:left w:val="none" w:sz="0" w:space="0" w:color="auto"/>
            <w:bottom w:val="none" w:sz="0" w:space="0" w:color="auto"/>
            <w:right w:val="none" w:sz="0" w:space="0" w:color="auto"/>
          </w:divBdr>
        </w:div>
        <w:div w:id="1182431065">
          <w:marLeft w:val="0"/>
          <w:marRight w:val="0"/>
          <w:marTop w:val="0"/>
          <w:marBottom w:val="0"/>
          <w:divBdr>
            <w:top w:val="none" w:sz="0" w:space="0" w:color="auto"/>
            <w:left w:val="none" w:sz="0" w:space="0" w:color="auto"/>
            <w:bottom w:val="none" w:sz="0" w:space="0" w:color="auto"/>
            <w:right w:val="none" w:sz="0" w:space="0" w:color="auto"/>
          </w:divBdr>
        </w:div>
        <w:div w:id="912592146">
          <w:marLeft w:val="0"/>
          <w:marRight w:val="0"/>
          <w:marTop w:val="0"/>
          <w:marBottom w:val="0"/>
          <w:divBdr>
            <w:top w:val="none" w:sz="0" w:space="0" w:color="auto"/>
            <w:left w:val="none" w:sz="0" w:space="0" w:color="auto"/>
            <w:bottom w:val="none" w:sz="0" w:space="0" w:color="auto"/>
            <w:right w:val="none" w:sz="0" w:space="0" w:color="auto"/>
          </w:divBdr>
        </w:div>
        <w:div w:id="1963611778">
          <w:marLeft w:val="0"/>
          <w:marRight w:val="0"/>
          <w:marTop w:val="0"/>
          <w:marBottom w:val="0"/>
          <w:divBdr>
            <w:top w:val="none" w:sz="0" w:space="0" w:color="auto"/>
            <w:left w:val="none" w:sz="0" w:space="0" w:color="auto"/>
            <w:bottom w:val="none" w:sz="0" w:space="0" w:color="auto"/>
            <w:right w:val="none" w:sz="0" w:space="0" w:color="auto"/>
          </w:divBdr>
        </w:div>
        <w:div w:id="1728072053">
          <w:marLeft w:val="0"/>
          <w:marRight w:val="0"/>
          <w:marTop w:val="0"/>
          <w:marBottom w:val="0"/>
          <w:divBdr>
            <w:top w:val="none" w:sz="0" w:space="0" w:color="auto"/>
            <w:left w:val="none" w:sz="0" w:space="0" w:color="auto"/>
            <w:bottom w:val="none" w:sz="0" w:space="0" w:color="auto"/>
            <w:right w:val="none" w:sz="0" w:space="0" w:color="auto"/>
          </w:divBdr>
        </w:div>
        <w:div w:id="767039826">
          <w:marLeft w:val="0"/>
          <w:marRight w:val="0"/>
          <w:marTop w:val="0"/>
          <w:marBottom w:val="0"/>
          <w:divBdr>
            <w:top w:val="none" w:sz="0" w:space="0" w:color="auto"/>
            <w:left w:val="none" w:sz="0" w:space="0" w:color="auto"/>
            <w:bottom w:val="none" w:sz="0" w:space="0" w:color="auto"/>
            <w:right w:val="none" w:sz="0" w:space="0" w:color="auto"/>
          </w:divBdr>
        </w:div>
        <w:div w:id="2055694541">
          <w:marLeft w:val="0"/>
          <w:marRight w:val="0"/>
          <w:marTop w:val="0"/>
          <w:marBottom w:val="0"/>
          <w:divBdr>
            <w:top w:val="none" w:sz="0" w:space="0" w:color="auto"/>
            <w:left w:val="none" w:sz="0" w:space="0" w:color="auto"/>
            <w:bottom w:val="none" w:sz="0" w:space="0" w:color="auto"/>
            <w:right w:val="none" w:sz="0" w:space="0" w:color="auto"/>
          </w:divBdr>
        </w:div>
        <w:div w:id="897086158">
          <w:marLeft w:val="0"/>
          <w:marRight w:val="0"/>
          <w:marTop w:val="0"/>
          <w:marBottom w:val="0"/>
          <w:divBdr>
            <w:top w:val="none" w:sz="0" w:space="0" w:color="auto"/>
            <w:left w:val="none" w:sz="0" w:space="0" w:color="auto"/>
            <w:bottom w:val="none" w:sz="0" w:space="0" w:color="auto"/>
            <w:right w:val="none" w:sz="0" w:space="0" w:color="auto"/>
          </w:divBdr>
        </w:div>
        <w:div w:id="62487784">
          <w:marLeft w:val="0"/>
          <w:marRight w:val="0"/>
          <w:marTop w:val="0"/>
          <w:marBottom w:val="0"/>
          <w:divBdr>
            <w:top w:val="none" w:sz="0" w:space="0" w:color="auto"/>
            <w:left w:val="none" w:sz="0" w:space="0" w:color="auto"/>
            <w:bottom w:val="none" w:sz="0" w:space="0" w:color="auto"/>
            <w:right w:val="none" w:sz="0" w:space="0" w:color="auto"/>
          </w:divBdr>
        </w:div>
        <w:div w:id="1934119160">
          <w:marLeft w:val="0"/>
          <w:marRight w:val="0"/>
          <w:marTop w:val="0"/>
          <w:marBottom w:val="0"/>
          <w:divBdr>
            <w:top w:val="none" w:sz="0" w:space="0" w:color="auto"/>
            <w:left w:val="none" w:sz="0" w:space="0" w:color="auto"/>
            <w:bottom w:val="none" w:sz="0" w:space="0" w:color="auto"/>
            <w:right w:val="none" w:sz="0" w:space="0" w:color="auto"/>
          </w:divBdr>
        </w:div>
        <w:div w:id="1385637862">
          <w:marLeft w:val="0"/>
          <w:marRight w:val="0"/>
          <w:marTop w:val="0"/>
          <w:marBottom w:val="0"/>
          <w:divBdr>
            <w:top w:val="none" w:sz="0" w:space="0" w:color="auto"/>
            <w:left w:val="none" w:sz="0" w:space="0" w:color="auto"/>
            <w:bottom w:val="none" w:sz="0" w:space="0" w:color="auto"/>
            <w:right w:val="none" w:sz="0" w:space="0" w:color="auto"/>
          </w:divBdr>
        </w:div>
        <w:div w:id="959186873">
          <w:marLeft w:val="0"/>
          <w:marRight w:val="0"/>
          <w:marTop w:val="0"/>
          <w:marBottom w:val="0"/>
          <w:divBdr>
            <w:top w:val="none" w:sz="0" w:space="0" w:color="auto"/>
            <w:left w:val="none" w:sz="0" w:space="0" w:color="auto"/>
            <w:bottom w:val="none" w:sz="0" w:space="0" w:color="auto"/>
            <w:right w:val="none" w:sz="0" w:space="0" w:color="auto"/>
          </w:divBdr>
        </w:div>
        <w:div w:id="1560743892">
          <w:marLeft w:val="0"/>
          <w:marRight w:val="0"/>
          <w:marTop w:val="0"/>
          <w:marBottom w:val="0"/>
          <w:divBdr>
            <w:top w:val="none" w:sz="0" w:space="0" w:color="auto"/>
            <w:left w:val="none" w:sz="0" w:space="0" w:color="auto"/>
            <w:bottom w:val="none" w:sz="0" w:space="0" w:color="auto"/>
            <w:right w:val="none" w:sz="0" w:space="0" w:color="auto"/>
          </w:divBdr>
        </w:div>
        <w:div w:id="911547192">
          <w:marLeft w:val="0"/>
          <w:marRight w:val="0"/>
          <w:marTop w:val="0"/>
          <w:marBottom w:val="0"/>
          <w:divBdr>
            <w:top w:val="none" w:sz="0" w:space="0" w:color="auto"/>
            <w:left w:val="none" w:sz="0" w:space="0" w:color="auto"/>
            <w:bottom w:val="none" w:sz="0" w:space="0" w:color="auto"/>
            <w:right w:val="none" w:sz="0" w:space="0" w:color="auto"/>
          </w:divBdr>
        </w:div>
        <w:div w:id="1062171654">
          <w:marLeft w:val="0"/>
          <w:marRight w:val="0"/>
          <w:marTop w:val="0"/>
          <w:marBottom w:val="0"/>
          <w:divBdr>
            <w:top w:val="none" w:sz="0" w:space="0" w:color="auto"/>
            <w:left w:val="none" w:sz="0" w:space="0" w:color="auto"/>
            <w:bottom w:val="none" w:sz="0" w:space="0" w:color="auto"/>
            <w:right w:val="none" w:sz="0" w:space="0" w:color="auto"/>
          </w:divBdr>
        </w:div>
        <w:div w:id="624432046">
          <w:marLeft w:val="0"/>
          <w:marRight w:val="0"/>
          <w:marTop w:val="0"/>
          <w:marBottom w:val="0"/>
          <w:divBdr>
            <w:top w:val="none" w:sz="0" w:space="0" w:color="auto"/>
            <w:left w:val="none" w:sz="0" w:space="0" w:color="auto"/>
            <w:bottom w:val="none" w:sz="0" w:space="0" w:color="auto"/>
            <w:right w:val="none" w:sz="0" w:space="0" w:color="auto"/>
          </w:divBdr>
        </w:div>
        <w:div w:id="326834212">
          <w:marLeft w:val="0"/>
          <w:marRight w:val="0"/>
          <w:marTop w:val="0"/>
          <w:marBottom w:val="0"/>
          <w:divBdr>
            <w:top w:val="none" w:sz="0" w:space="0" w:color="auto"/>
            <w:left w:val="none" w:sz="0" w:space="0" w:color="auto"/>
            <w:bottom w:val="none" w:sz="0" w:space="0" w:color="auto"/>
            <w:right w:val="none" w:sz="0" w:space="0" w:color="auto"/>
          </w:divBdr>
        </w:div>
        <w:div w:id="792870644">
          <w:marLeft w:val="0"/>
          <w:marRight w:val="0"/>
          <w:marTop w:val="0"/>
          <w:marBottom w:val="0"/>
          <w:divBdr>
            <w:top w:val="none" w:sz="0" w:space="0" w:color="auto"/>
            <w:left w:val="none" w:sz="0" w:space="0" w:color="auto"/>
            <w:bottom w:val="none" w:sz="0" w:space="0" w:color="auto"/>
            <w:right w:val="none" w:sz="0" w:space="0" w:color="auto"/>
          </w:divBdr>
        </w:div>
        <w:div w:id="802771087">
          <w:marLeft w:val="0"/>
          <w:marRight w:val="0"/>
          <w:marTop w:val="0"/>
          <w:marBottom w:val="0"/>
          <w:divBdr>
            <w:top w:val="none" w:sz="0" w:space="0" w:color="auto"/>
            <w:left w:val="none" w:sz="0" w:space="0" w:color="auto"/>
            <w:bottom w:val="none" w:sz="0" w:space="0" w:color="auto"/>
            <w:right w:val="none" w:sz="0" w:space="0" w:color="auto"/>
          </w:divBdr>
        </w:div>
        <w:div w:id="626937620">
          <w:marLeft w:val="0"/>
          <w:marRight w:val="0"/>
          <w:marTop w:val="0"/>
          <w:marBottom w:val="0"/>
          <w:divBdr>
            <w:top w:val="none" w:sz="0" w:space="0" w:color="auto"/>
            <w:left w:val="none" w:sz="0" w:space="0" w:color="auto"/>
            <w:bottom w:val="none" w:sz="0" w:space="0" w:color="auto"/>
            <w:right w:val="none" w:sz="0" w:space="0" w:color="auto"/>
          </w:divBdr>
        </w:div>
        <w:div w:id="1437098924">
          <w:marLeft w:val="0"/>
          <w:marRight w:val="0"/>
          <w:marTop w:val="0"/>
          <w:marBottom w:val="0"/>
          <w:divBdr>
            <w:top w:val="none" w:sz="0" w:space="0" w:color="auto"/>
            <w:left w:val="none" w:sz="0" w:space="0" w:color="auto"/>
            <w:bottom w:val="none" w:sz="0" w:space="0" w:color="auto"/>
            <w:right w:val="none" w:sz="0" w:space="0" w:color="auto"/>
          </w:divBdr>
        </w:div>
      </w:divsChild>
    </w:div>
    <w:div w:id="1435397455">
      <w:bodyDiv w:val="1"/>
      <w:marLeft w:val="0"/>
      <w:marRight w:val="0"/>
      <w:marTop w:val="0"/>
      <w:marBottom w:val="0"/>
      <w:divBdr>
        <w:top w:val="none" w:sz="0" w:space="0" w:color="auto"/>
        <w:left w:val="none" w:sz="0" w:space="0" w:color="auto"/>
        <w:bottom w:val="none" w:sz="0" w:space="0" w:color="auto"/>
        <w:right w:val="none" w:sz="0" w:space="0" w:color="auto"/>
      </w:divBdr>
      <w:divsChild>
        <w:div w:id="224416652">
          <w:marLeft w:val="0"/>
          <w:marRight w:val="0"/>
          <w:marTop w:val="0"/>
          <w:marBottom w:val="0"/>
          <w:divBdr>
            <w:top w:val="none" w:sz="0" w:space="0" w:color="auto"/>
            <w:left w:val="none" w:sz="0" w:space="0" w:color="auto"/>
            <w:bottom w:val="none" w:sz="0" w:space="0" w:color="auto"/>
            <w:right w:val="none" w:sz="0" w:space="0" w:color="auto"/>
          </w:divBdr>
        </w:div>
        <w:div w:id="932711237">
          <w:marLeft w:val="0"/>
          <w:marRight w:val="0"/>
          <w:marTop w:val="0"/>
          <w:marBottom w:val="0"/>
          <w:divBdr>
            <w:top w:val="none" w:sz="0" w:space="0" w:color="auto"/>
            <w:left w:val="none" w:sz="0" w:space="0" w:color="auto"/>
            <w:bottom w:val="none" w:sz="0" w:space="0" w:color="auto"/>
            <w:right w:val="none" w:sz="0" w:space="0" w:color="auto"/>
          </w:divBdr>
        </w:div>
        <w:div w:id="1896357848">
          <w:marLeft w:val="0"/>
          <w:marRight w:val="0"/>
          <w:marTop w:val="0"/>
          <w:marBottom w:val="0"/>
          <w:divBdr>
            <w:top w:val="none" w:sz="0" w:space="0" w:color="auto"/>
            <w:left w:val="none" w:sz="0" w:space="0" w:color="auto"/>
            <w:bottom w:val="none" w:sz="0" w:space="0" w:color="auto"/>
            <w:right w:val="none" w:sz="0" w:space="0" w:color="auto"/>
          </w:divBdr>
        </w:div>
        <w:div w:id="764688675">
          <w:marLeft w:val="0"/>
          <w:marRight w:val="0"/>
          <w:marTop w:val="0"/>
          <w:marBottom w:val="0"/>
          <w:divBdr>
            <w:top w:val="none" w:sz="0" w:space="0" w:color="auto"/>
            <w:left w:val="none" w:sz="0" w:space="0" w:color="auto"/>
            <w:bottom w:val="none" w:sz="0" w:space="0" w:color="auto"/>
            <w:right w:val="none" w:sz="0" w:space="0" w:color="auto"/>
          </w:divBdr>
        </w:div>
        <w:div w:id="405879069">
          <w:marLeft w:val="0"/>
          <w:marRight w:val="0"/>
          <w:marTop w:val="0"/>
          <w:marBottom w:val="0"/>
          <w:divBdr>
            <w:top w:val="none" w:sz="0" w:space="0" w:color="auto"/>
            <w:left w:val="none" w:sz="0" w:space="0" w:color="auto"/>
            <w:bottom w:val="none" w:sz="0" w:space="0" w:color="auto"/>
            <w:right w:val="none" w:sz="0" w:space="0" w:color="auto"/>
          </w:divBdr>
        </w:div>
        <w:div w:id="452137935">
          <w:marLeft w:val="0"/>
          <w:marRight w:val="0"/>
          <w:marTop w:val="0"/>
          <w:marBottom w:val="0"/>
          <w:divBdr>
            <w:top w:val="none" w:sz="0" w:space="0" w:color="auto"/>
            <w:left w:val="none" w:sz="0" w:space="0" w:color="auto"/>
            <w:bottom w:val="none" w:sz="0" w:space="0" w:color="auto"/>
            <w:right w:val="none" w:sz="0" w:space="0" w:color="auto"/>
          </w:divBdr>
        </w:div>
        <w:div w:id="141697081">
          <w:marLeft w:val="0"/>
          <w:marRight w:val="0"/>
          <w:marTop w:val="0"/>
          <w:marBottom w:val="0"/>
          <w:divBdr>
            <w:top w:val="none" w:sz="0" w:space="0" w:color="auto"/>
            <w:left w:val="none" w:sz="0" w:space="0" w:color="auto"/>
            <w:bottom w:val="none" w:sz="0" w:space="0" w:color="auto"/>
            <w:right w:val="none" w:sz="0" w:space="0" w:color="auto"/>
          </w:divBdr>
        </w:div>
        <w:div w:id="1240601310">
          <w:marLeft w:val="0"/>
          <w:marRight w:val="0"/>
          <w:marTop w:val="0"/>
          <w:marBottom w:val="0"/>
          <w:divBdr>
            <w:top w:val="none" w:sz="0" w:space="0" w:color="auto"/>
            <w:left w:val="none" w:sz="0" w:space="0" w:color="auto"/>
            <w:bottom w:val="none" w:sz="0" w:space="0" w:color="auto"/>
            <w:right w:val="none" w:sz="0" w:space="0" w:color="auto"/>
          </w:divBdr>
        </w:div>
        <w:div w:id="1764104118">
          <w:marLeft w:val="0"/>
          <w:marRight w:val="0"/>
          <w:marTop w:val="0"/>
          <w:marBottom w:val="0"/>
          <w:divBdr>
            <w:top w:val="none" w:sz="0" w:space="0" w:color="auto"/>
            <w:left w:val="none" w:sz="0" w:space="0" w:color="auto"/>
            <w:bottom w:val="none" w:sz="0" w:space="0" w:color="auto"/>
            <w:right w:val="none" w:sz="0" w:space="0" w:color="auto"/>
          </w:divBdr>
        </w:div>
        <w:div w:id="864707474">
          <w:marLeft w:val="0"/>
          <w:marRight w:val="0"/>
          <w:marTop w:val="0"/>
          <w:marBottom w:val="0"/>
          <w:divBdr>
            <w:top w:val="none" w:sz="0" w:space="0" w:color="auto"/>
            <w:left w:val="none" w:sz="0" w:space="0" w:color="auto"/>
            <w:bottom w:val="none" w:sz="0" w:space="0" w:color="auto"/>
            <w:right w:val="none" w:sz="0" w:space="0" w:color="auto"/>
          </w:divBdr>
        </w:div>
        <w:div w:id="243102169">
          <w:marLeft w:val="0"/>
          <w:marRight w:val="0"/>
          <w:marTop w:val="0"/>
          <w:marBottom w:val="0"/>
          <w:divBdr>
            <w:top w:val="none" w:sz="0" w:space="0" w:color="auto"/>
            <w:left w:val="none" w:sz="0" w:space="0" w:color="auto"/>
            <w:bottom w:val="none" w:sz="0" w:space="0" w:color="auto"/>
            <w:right w:val="none" w:sz="0" w:space="0" w:color="auto"/>
          </w:divBdr>
        </w:div>
        <w:div w:id="907032792">
          <w:marLeft w:val="0"/>
          <w:marRight w:val="0"/>
          <w:marTop w:val="0"/>
          <w:marBottom w:val="0"/>
          <w:divBdr>
            <w:top w:val="none" w:sz="0" w:space="0" w:color="auto"/>
            <w:left w:val="none" w:sz="0" w:space="0" w:color="auto"/>
            <w:bottom w:val="none" w:sz="0" w:space="0" w:color="auto"/>
            <w:right w:val="none" w:sz="0" w:space="0" w:color="auto"/>
          </w:divBdr>
        </w:div>
      </w:divsChild>
    </w:div>
    <w:div w:id="1491480569">
      <w:bodyDiv w:val="1"/>
      <w:marLeft w:val="0"/>
      <w:marRight w:val="0"/>
      <w:marTop w:val="0"/>
      <w:marBottom w:val="0"/>
      <w:divBdr>
        <w:top w:val="none" w:sz="0" w:space="0" w:color="auto"/>
        <w:left w:val="none" w:sz="0" w:space="0" w:color="auto"/>
        <w:bottom w:val="none" w:sz="0" w:space="0" w:color="auto"/>
        <w:right w:val="none" w:sz="0" w:space="0" w:color="auto"/>
      </w:divBdr>
      <w:divsChild>
        <w:div w:id="773407594">
          <w:marLeft w:val="0"/>
          <w:marRight w:val="0"/>
          <w:marTop w:val="0"/>
          <w:marBottom w:val="0"/>
          <w:divBdr>
            <w:top w:val="none" w:sz="0" w:space="0" w:color="auto"/>
            <w:left w:val="none" w:sz="0" w:space="0" w:color="auto"/>
            <w:bottom w:val="none" w:sz="0" w:space="0" w:color="auto"/>
            <w:right w:val="none" w:sz="0" w:space="0" w:color="auto"/>
          </w:divBdr>
        </w:div>
        <w:div w:id="1515652628">
          <w:marLeft w:val="0"/>
          <w:marRight w:val="0"/>
          <w:marTop w:val="0"/>
          <w:marBottom w:val="0"/>
          <w:divBdr>
            <w:top w:val="none" w:sz="0" w:space="0" w:color="auto"/>
            <w:left w:val="none" w:sz="0" w:space="0" w:color="auto"/>
            <w:bottom w:val="none" w:sz="0" w:space="0" w:color="auto"/>
            <w:right w:val="none" w:sz="0" w:space="0" w:color="auto"/>
          </w:divBdr>
        </w:div>
        <w:div w:id="815101465">
          <w:marLeft w:val="0"/>
          <w:marRight w:val="0"/>
          <w:marTop w:val="0"/>
          <w:marBottom w:val="0"/>
          <w:divBdr>
            <w:top w:val="none" w:sz="0" w:space="0" w:color="auto"/>
            <w:left w:val="none" w:sz="0" w:space="0" w:color="auto"/>
            <w:bottom w:val="none" w:sz="0" w:space="0" w:color="auto"/>
            <w:right w:val="none" w:sz="0" w:space="0" w:color="auto"/>
          </w:divBdr>
        </w:div>
      </w:divsChild>
    </w:div>
    <w:div w:id="1497644100">
      <w:bodyDiv w:val="1"/>
      <w:marLeft w:val="0"/>
      <w:marRight w:val="0"/>
      <w:marTop w:val="0"/>
      <w:marBottom w:val="0"/>
      <w:divBdr>
        <w:top w:val="none" w:sz="0" w:space="0" w:color="auto"/>
        <w:left w:val="none" w:sz="0" w:space="0" w:color="auto"/>
        <w:bottom w:val="none" w:sz="0" w:space="0" w:color="auto"/>
        <w:right w:val="none" w:sz="0" w:space="0" w:color="auto"/>
      </w:divBdr>
      <w:divsChild>
        <w:div w:id="1411075278">
          <w:marLeft w:val="0"/>
          <w:marRight w:val="0"/>
          <w:marTop w:val="0"/>
          <w:marBottom w:val="0"/>
          <w:divBdr>
            <w:top w:val="none" w:sz="0" w:space="0" w:color="auto"/>
            <w:left w:val="none" w:sz="0" w:space="0" w:color="auto"/>
            <w:bottom w:val="none" w:sz="0" w:space="0" w:color="auto"/>
            <w:right w:val="none" w:sz="0" w:space="0" w:color="auto"/>
          </w:divBdr>
        </w:div>
        <w:div w:id="228078022">
          <w:marLeft w:val="0"/>
          <w:marRight w:val="0"/>
          <w:marTop w:val="0"/>
          <w:marBottom w:val="0"/>
          <w:divBdr>
            <w:top w:val="none" w:sz="0" w:space="0" w:color="auto"/>
            <w:left w:val="none" w:sz="0" w:space="0" w:color="auto"/>
            <w:bottom w:val="none" w:sz="0" w:space="0" w:color="auto"/>
            <w:right w:val="none" w:sz="0" w:space="0" w:color="auto"/>
          </w:divBdr>
        </w:div>
        <w:div w:id="343897546">
          <w:marLeft w:val="0"/>
          <w:marRight w:val="0"/>
          <w:marTop w:val="0"/>
          <w:marBottom w:val="0"/>
          <w:divBdr>
            <w:top w:val="none" w:sz="0" w:space="0" w:color="auto"/>
            <w:left w:val="none" w:sz="0" w:space="0" w:color="auto"/>
            <w:bottom w:val="none" w:sz="0" w:space="0" w:color="auto"/>
            <w:right w:val="none" w:sz="0" w:space="0" w:color="auto"/>
          </w:divBdr>
        </w:div>
        <w:div w:id="1634360039">
          <w:marLeft w:val="0"/>
          <w:marRight w:val="0"/>
          <w:marTop w:val="0"/>
          <w:marBottom w:val="0"/>
          <w:divBdr>
            <w:top w:val="none" w:sz="0" w:space="0" w:color="auto"/>
            <w:left w:val="none" w:sz="0" w:space="0" w:color="auto"/>
            <w:bottom w:val="none" w:sz="0" w:space="0" w:color="auto"/>
            <w:right w:val="none" w:sz="0" w:space="0" w:color="auto"/>
          </w:divBdr>
        </w:div>
        <w:div w:id="2060544875">
          <w:marLeft w:val="0"/>
          <w:marRight w:val="0"/>
          <w:marTop w:val="0"/>
          <w:marBottom w:val="0"/>
          <w:divBdr>
            <w:top w:val="none" w:sz="0" w:space="0" w:color="auto"/>
            <w:left w:val="none" w:sz="0" w:space="0" w:color="auto"/>
            <w:bottom w:val="none" w:sz="0" w:space="0" w:color="auto"/>
            <w:right w:val="none" w:sz="0" w:space="0" w:color="auto"/>
          </w:divBdr>
        </w:div>
        <w:div w:id="290596756">
          <w:marLeft w:val="0"/>
          <w:marRight w:val="0"/>
          <w:marTop w:val="0"/>
          <w:marBottom w:val="0"/>
          <w:divBdr>
            <w:top w:val="none" w:sz="0" w:space="0" w:color="auto"/>
            <w:left w:val="none" w:sz="0" w:space="0" w:color="auto"/>
            <w:bottom w:val="none" w:sz="0" w:space="0" w:color="auto"/>
            <w:right w:val="none" w:sz="0" w:space="0" w:color="auto"/>
          </w:divBdr>
        </w:div>
        <w:div w:id="1535339017">
          <w:marLeft w:val="0"/>
          <w:marRight w:val="0"/>
          <w:marTop w:val="0"/>
          <w:marBottom w:val="0"/>
          <w:divBdr>
            <w:top w:val="none" w:sz="0" w:space="0" w:color="auto"/>
            <w:left w:val="none" w:sz="0" w:space="0" w:color="auto"/>
            <w:bottom w:val="none" w:sz="0" w:space="0" w:color="auto"/>
            <w:right w:val="none" w:sz="0" w:space="0" w:color="auto"/>
          </w:divBdr>
        </w:div>
        <w:div w:id="7023404">
          <w:marLeft w:val="0"/>
          <w:marRight w:val="0"/>
          <w:marTop w:val="0"/>
          <w:marBottom w:val="0"/>
          <w:divBdr>
            <w:top w:val="none" w:sz="0" w:space="0" w:color="auto"/>
            <w:left w:val="none" w:sz="0" w:space="0" w:color="auto"/>
            <w:bottom w:val="none" w:sz="0" w:space="0" w:color="auto"/>
            <w:right w:val="none" w:sz="0" w:space="0" w:color="auto"/>
          </w:divBdr>
        </w:div>
        <w:div w:id="1513840593">
          <w:marLeft w:val="0"/>
          <w:marRight w:val="0"/>
          <w:marTop w:val="0"/>
          <w:marBottom w:val="0"/>
          <w:divBdr>
            <w:top w:val="none" w:sz="0" w:space="0" w:color="auto"/>
            <w:left w:val="none" w:sz="0" w:space="0" w:color="auto"/>
            <w:bottom w:val="none" w:sz="0" w:space="0" w:color="auto"/>
            <w:right w:val="none" w:sz="0" w:space="0" w:color="auto"/>
          </w:divBdr>
        </w:div>
        <w:div w:id="2023513185">
          <w:marLeft w:val="0"/>
          <w:marRight w:val="0"/>
          <w:marTop w:val="0"/>
          <w:marBottom w:val="0"/>
          <w:divBdr>
            <w:top w:val="none" w:sz="0" w:space="0" w:color="auto"/>
            <w:left w:val="none" w:sz="0" w:space="0" w:color="auto"/>
            <w:bottom w:val="none" w:sz="0" w:space="0" w:color="auto"/>
            <w:right w:val="none" w:sz="0" w:space="0" w:color="auto"/>
          </w:divBdr>
        </w:div>
        <w:div w:id="607470823">
          <w:marLeft w:val="0"/>
          <w:marRight w:val="0"/>
          <w:marTop w:val="0"/>
          <w:marBottom w:val="0"/>
          <w:divBdr>
            <w:top w:val="none" w:sz="0" w:space="0" w:color="auto"/>
            <w:left w:val="none" w:sz="0" w:space="0" w:color="auto"/>
            <w:bottom w:val="none" w:sz="0" w:space="0" w:color="auto"/>
            <w:right w:val="none" w:sz="0" w:space="0" w:color="auto"/>
          </w:divBdr>
        </w:div>
        <w:div w:id="2063819706">
          <w:marLeft w:val="0"/>
          <w:marRight w:val="0"/>
          <w:marTop w:val="0"/>
          <w:marBottom w:val="0"/>
          <w:divBdr>
            <w:top w:val="none" w:sz="0" w:space="0" w:color="auto"/>
            <w:left w:val="none" w:sz="0" w:space="0" w:color="auto"/>
            <w:bottom w:val="none" w:sz="0" w:space="0" w:color="auto"/>
            <w:right w:val="none" w:sz="0" w:space="0" w:color="auto"/>
          </w:divBdr>
        </w:div>
        <w:div w:id="1857109317">
          <w:marLeft w:val="0"/>
          <w:marRight w:val="0"/>
          <w:marTop w:val="0"/>
          <w:marBottom w:val="0"/>
          <w:divBdr>
            <w:top w:val="none" w:sz="0" w:space="0" w:color="auto"/>
            <w:left w:val="none" w:sz="0" w:space="0" w:color="auto"/>
            <w:bottom w:val="none" w:sz="0" w:space="0" w:color="auto"/>
            <w:right w:val="none" w:sz="0" w:space="0" w:color="auto"/>
          </w:divBdr>
        </w:div>
        <w:div w:id="392776664">
          <w:marLeft w:val="0"/>
          <w:marRight w:val="0"/>
          <w:marTop w:val="0"/>
          <w:marBottom w:val="0"/>
          <w:divBdr>
            <w:top w:val="none" w:sz="0" w:space="0" w:color="auto"/>
            <w:left w:val="none" w:sz="0" w:space="0" w:color="auto"/>
            <w:bottom w:val="none" w:sz="0" w:space="0" w:color="auto"/>
            <w:right w:val="none" w:sz="0" w:space="0" w:color="auto"/>
          </w:divBdr>
        </w:div>
        <w:div w:id="1223977783">
          <w:marLeft w:val="0"/>
          <w:marRight w:val="0"/>
          <w:marTop w:val="0"/>
          <w:marBottom w:val="0"/>
          <w:divBdr>
            <w:top w:val="none" w:sz="0" w:space="0" w:color="auto"/>
            <w:left w:val="none" w:sz="0" w:space="0" w:color="auto"/>
            <w:bottom w:val="none" w:sz="0" w:space="0" w:color="auto"/>
            <w:right w:val="none" w:sz="0" w:space="0" w:color="auto"/>
          </w:divBdr>
        </w:div>
        <w:div w:id="967202205">
          <w:marLeft w:val="0"/>
          <w:marRight w:val="0"/>
          <w:marTop w:val="0"/>
          <w:marBottom w:val="0"/>
          <w:divBdr>
            <w:top w:val="none" w:sz="0" w:space="0" w:color="auto"/>
            <w:left w:val="none" w:sz="0" w:space="0" w:color="auto"/>
            <w:bottom w:val="none" w:sz="0" w:space="0" w:color="auto"/>
            <w:right w:val="none" w:sz="0" w:space="0" w:color="auto"/>
          </w:divBdr>
        </w:div>
        <w:div w:id="2118671494">
          <w:marLeft w:val="0"/>
          <w:marRight w:val="0"/>
          <w:marTop w:val="0"/>
          <w:marBottom w:val="0"/>
          <w:divBdr>
            <w:top w:val="none" w:sz="0" w:space="0" w:color="auto"/>
            <w:left w:val="none" w:sz="0" w:space="0" w:color="auto"/>
            <w:bottom w:val="none" w:sz="0" w:space="0" w:color="auto"/>
            <w:right w:val="none" w:sz="0" w:space="0" w:color="auto"/>
          </w:divBdr>
        </w:div>
        <w:div w:id="460924478">
          <w:marLeft w:val="0"/>
          <w:marRight w:val="0"/>
          <w:marTop w:val="0"/>
          <w:marBottom w:val="0"/>
          <w:divBdr>
            <w:top w:val="none" w:sz="0" w:space="0" w:color="auto"/>
            <w:left w:val="none" w:sz="0" w:space="0" w:color="auto"/>
            <w:bottom w:val="none" w:sz="0" w:space="0" w:color="auto"/>
            <w:right w:val="none" w:sz="0" w:space="0" w:color="auto"/>
          </w:divBdr>
        </w:div>
        <w:div w:id="606734726">
          <w:marLeft w:val="0"/>
          <w:marRight w:val="0"/>
          <w:marTop w:val="0"/>
          <w:marBottom w:val="0"/>
          <w:divBdr>
            <w:top w:val="none" w:sz="0" w:space="0" w:color="auto"/>
            <w:left w:val="none" w:sz="0" w:space="0" w:color="auto"/>
            <w:bottom w:val="none" w:sz="0" w:space="0" w:color="auto"/>
            <w:right w:val="none" w:sz="0" w:space="0" w:color="auto"/>
          </w:divBdr>
        </w:div>
        <w:div w:id="1945382153">
          <w:marLeft w:val="0"/>
          <w:marRight w:val="0"/>
          <w:marTop w:val="0"/>
          <w:marBottom w:val="0"/>
          <w:divBdr>
            <w:top w:val="none" w:sz="0" w:space="0" w:color="auto"/>
            <w:left w:val="none" w:sz="0" w:space="0" w:color="auto"/>
            <w:bottom w:val="none" w:sz="0" w:space="0" w:color="auto"/>
            <w:right w:val="none" w:sz="0" w:space="0" w:color="auto"/>
          </w:divBdr>
        </w:div>
        <w:div w:id="1432970395">
          <w:marLeft w:val="0"/>
          <w:marRight w:val="0"/>
          <w:marTop w:val="0"/>
          <w:marBottom w:val="0"/>
          <w:divBdr>
            <w:top w:val="none" w:sz="0" w:space="0" w:color="auto"/>
            <w:left w:val="none" w:sz="0" w:space="0" w:color="auto"/>
            <w:bottom w:val="none" w:sz="0" w:space="0" w:color="auto"/>
            <w:right w:val="none" w:sz="0" w:space="0" w:color="auto"/>
          </w:divBdr>
        </w:div>
        <w:div w:id="1066146660">
          <w:marLeft w:val="0"/>
          <w:marRight w:val="0"/>
          <w:marTop w:val="0"/>
          <w:marBottom w:val="0"/>
          <w:divBdr>
            <w:top w:val="none" w:sz="0" w:space="0" w:color="auto"/>
            <w:left w:val="none" w:sz="0" w:space="0" w:color="auto"/>
            <w:bottom w:val="none" w:sz="0" w:space="0" w:color="auto"/>
            <w:right w:val="none" w:sz="0" w:space="0" w:color="auto"/>
          </w:divBdr>
        </w:div>
      </w:divsChild>
    </w:div>
    <w:div w:id="1514565468">
      <w:bodyDiv w:val="1"/>
      <w:marLeft w:val="0"/>
      <w:marRight w:val="0"/>
      <w:marTop w:val="0"/>
      <w:marBottom w:val="0"/>
      <w:divBdr>
        <w:top w:val="none" w:sz="0" w:space="0" w:color="auto"/>
        <w:left w:val="none" w:sz="0" w:space="0" w:color="auto"/>
        <w:bottom w:val="none" w:sz="0" w:space="0" w:color="auto"/>
        <w:right w:val="none" w:sz="0" w:space="0" w:color="auto"/>
      </w:divBdr>
      <w:divsChild>
        <w:div w:id="31274385">
          <w:marLeft w:val="0"/>
          <w:marRight w:val="0"/>
          <w:marTop w:val="0"/>
          <w:marBottom w:val="0"/>
          <w:divBdr>
            <w:top w:val="none" w:sz="0" w:space="0" w:color="auto"/>
            <w:left w:val="none" w:sz="0" w:space="0" w:color="auto"/>
            <w:bottom w:val="none" w:sz="0" w:space="0" w:color="auto"/>
            <w:right w:val="none" w:sz="0" w:space="0" w:color="auto"/>
          </w:divBdr>
        </w:div>
        <w:div w:id="622157106">
          <w:marLeft w:val="0"/>
          <w:marRight w:val="0"/>
          <w:marTop w:val="0"/>
          <w:marBottom w:val="0"/>
          <w:divBdr>
            <w:top w:val="none" w:sz="0" w:space="0" w:color="auto"/>
            <w:left w:val="none" w:sz="0" w:space="0" w:color="auto"/>
            <w:bottom w:val="none" w:sz="0" w:space="0" w:color="auto"/>
            <w:right w:val="none" w:sz="0" w:space="0" w:color="auto"/>
          </w:divBdr>
        </w:div>
        <w:div w:id="1542937367">
          <w:marLeft w:val="0"/>
          <w:marRight w:val="0"/>
          <w:marTop w:val="0"/>
          <w:marBottom w:val="0"/>
          <w:divBdr>
            <w:top w:val="none" w:sz="0" w:space="0" w:color="auto"/>
            <w:left w:val="none" w:sz="0" w:space="0" w:color="auto"/>
            <w:bottom w:val="none" w:sz="0" w:space="0" w:color="auto"/>
            <w:right w:val="none" w:sz="0" w:space="0" w:color="auto"/>
          </w:divBdr>
        </w:div>
        <w:div w:id="583958334">
          <w:marLeft w:val="0"/>
          <w:marRight w:val="0"/>
          <w:marTop w:val="0"/>
          <w:marBottom w:val="0"/>
          <w:divBdr>
            <w:top w:val="none" w:sz="0" w:space="0" w:color="auto"/>
            <w:left w:val="none" w:sz="0" w:space="0" w:color="auto"/>
            <w:bottom w:val="none" w:sz="0" w:space="0" w:color="auto"/>
            <w:right w:val="none" w:sz="0" w:space="0" w:color="auto"/>
          </w:divBdr>
        </w:div>
        <w:div w:id="293101827">
          <w:marLeft w:val="0"/>
          <w:marRight w:val="0"/>
          <w:marTop w:val="0"/>
          <w:marBottom w:val="0"/>
          <w:divBdr>
            <w:top w:val="none" w:sz="0" w:space="0" w:color="auto"/>
            <w:left w:val="none" w:sz="0" w:space="0" w:color="auto"/>
            <w:bottom w:val="none" w:sz="0" w:space="0" w:color="auto"/>
            <w:right w:val="none" w:sz="0" w:space="0" w:color="auto"/>
          </w:divBdr>
        </w:div>
        <w:div w:id="1711417953">
          <w:marLeft w:val="0"/>
          <w:marRight w:val="0"/>
          <w:marTop w:val="0"/>
          <w:marBottom w:val="0"/>
          <w:divBdr>
            <w:top w:val="none" w:sz="0" w:space="0" w:color="auto"/>
            <w:left w:val="none" w:sz="0" w:space="0" w:color="auto"/>
            <w:bottom w:val="none" w:sz="0" w:space="0" w:color="auto"/>
            <w:right w:val="none" w:sz="0" w:space="0" w:color="auto"/>
          </w:divBdr>
        </w:div>
        <w:div w:id="1378581916">
          <w:marLeft w:val="0"/>
          <w:marRight w:val="0"/>
          <w:marTop w:val="0"/>
          <w:marBottom w:val="0"/>
          <w:divBdr>
            <w:top w:val="none" w:sz="0" w:space="0" w:color="auto"/>
            <w:left w:val="none" w:sz="0" w:space="0" w:color="auto"/>
            <w:bottom w:val="none" w:sz="0" w:space="0" w:color="auto"/>
            <w:right w:val="none" w:sz="0" w:space="0" w:color="auto"/>
          </w:divBdr>
        </w:div>
        <w:div w:id="81537856">
          <w:marLeft w:val="0"/>
          <w:marRight w:val="0"/>
          <w:marTop w:val="0"/>
          <w:marBottom w:val="0"/>
          <w:divBdr>
            <w:top w:val="none" w:sz="0" w:space="0" w:color="auto"/>
            <w:left w:val="none" w:sz="0" w:space="0" w:color="auto"/>
            <w:bottom w:val="none" w:sz="0" w:space="0" w:color="auto"/>
            <w:right w:val="none" w:sz="0" w:space="0" w:color="auto"/>
          </w:divBdr>
        </w:div>
        <w:div w:id="941038645">
          <w:marLeft w:val="0"/>
          <w:marRight w:val="0"/>
          <w:marTop w:val="0"/>
          <w:marBottom w:val="0"/>
          <w:divBdr>
            <w:top w:val="none" w:sz="0" w:space="0" w:color="auto"/>
            <w:left w:val="none" w:sz="0" w:space="0" w:color="auto"/>
            <w:bottom w:val="none" w:sz="0" w:space="0" w:color="auto"/>
            <w:right w:val="none" w:sz="0" w:space="0" w:color="auto"/>
          </w:divBdr>
        </w:div>
        <w:div w:id="523861005">
          <w:marLeft w:val="0"/>
          <w:marRight w:val="0"/>
          <w:marTop w:val="0"/>
          <w:marBottom w:val="0"/>
          <w:divBdr>
            <w:top w:val="none" w:sz="0" w:space="0" w:color="auto"/>
            <w:left w:val="none" w:sz="0" w:space="0" w:color="auto"/>
            <w:bottom w:val="none" w:sz="0" w:space="0" w:color="auto"/>
            <w:right w:val="none" w:sz="0" w:space="0" w:color="auto"/>
          </w:divBdr>
        </w:div>
        <w:div w:id="905844871">
          <w:marLeft w:val="0"/>
          <w:marRight w:val="0"/>
          <w:marTop w:val="0"/>
          <w:marBottom w:val="0"/>
          <w:divBdr>
            <w:top w:val="none" w:sz="0" w:space="0" w:color="auto"/>
            <w:left w:val="none" w:sz="0" w:space="0" w:color="auto"/>
            <w:bottom w:val="none" w:sz="0" w:space="0" w:color="auto"/>
            <w:right w:val="none" w:sz="0" w:space="0" w:color="auto"/>
          </w:divBdr>
        </w:div>
        <w:div w:id="339090446">
          <w:marLeft w:val="0"/>
          <w:marRight w:val="0"/>
          <w:marTop w:val="0"/>
          <w:marBottom w:val="0"/>
          <w:divBdr>
            <w:top w:val="none" w:sz="0" w:space="0" w:color="auto"/>
            <w:left w:val="none" w:sz="0" w:space="0" w:color="auto"/>
            <w:bottom w:val="none" w:sz="0" w:space="0" w:color="auto"/>
            <w:right w:val="none" w:sz="0" w:space="0" w:color="auto"/>
          </w:divBdr>
        </w:div>
        <w:div w:id="1385761549">
          <w:marLeft w:val="0"/>
          <w:marRight w:val="0"/>
          <w:marTop w:val="0"/>
          <w:marBottom w:val="0"/>
          <w:divBdr>
            <w:top w:val="none" w:sz="0" w:space="0" w:color="auto"/>
            <w:left w:val="none" w:sz="0" w:space="0" w:color="auto"/>
            <w:bottom w:val="none" w:sz="0" w:space="0" w:color="auto"/>
            <w:right w:val="none" w:sz="0" w:space="0" w:color="auto"/>
          </w:divBdr>
        </w:div>
        <w:div w:id="52975297">
          <w:marLeft w:val="0"/>
          <w:marRight w:val="0"/>
          <w:marTop w:val="0"/>
          <w:marBottom w:val="0"/>
          <w:divBdr>
            <w:top w:val="none" w:sz="0" w:space="0" w:color="auto"/>
            <w:left w:val="none" w:sz="0" w:space="0" w:color="auto"/>
            <w:bottom w:val="none" w:sz="0" w:space="0" w:color="auto"/>
            <w:right w:val="none" w:sz="0" w:space="0" w:color="auto"/>
          </w:divBdr>
        </w:div>
        <w:div w:id="1431268862">
          <w:marLeft w:val="0"/>
          <w:marRight w:val="0"/>
          <w:marTop w:val="0"/>
          <w:marBottom w:val="0"/>
          <w:divBdr>
            <w:top w:val="none" w:sz="0" w:space="0" w:color="auto"/>
            <w:left w:val="none" w:sz="0" w:space="0" w:color="auto"/>
            <w:bottom w:val="none" w:sz="0" w:space="0" w:color="auto"/>
            <w:right w:val="none" w:sz="0" w:space="0" w:color="auto"/>
          </w:divBdr>
        </w:div>
        <w:div w:id="1669677882">
          <w:marLeft w:val="0"/>
          <w:marRight w:val="0"/>
          <w:marTop w:val="0"/>
          <w:marBottom w:val="0"/>
          <w:divBdr>
            <w:top w:val="none" w:sz="0" w:space="0" w:color="auto"/>
            <w:left w:val="none" w:sz="0" w:space="0" w:color="auto"/>
            <w:bottom w:val="none" w:sz="0" w:space="0" w:color="auto"/>
            <w:right w:val="none" w:sz="0" w:space="0" w:color="auto"/>
          </w:divBdr>
        </w:div>
        <w:div w:id="303852060">
          <w:marLeft w:val="0"/>
          <w:marRight w:val="0"/>
          <w:marTop w:val="0"/>
          <w:marBottom w:val="0"/>
          <w:divBdr>
            <w:top w:val="none" w:sz="0" w:space="0" w:color="auto"/>
            <w:left w:val="none" w:sz="0" w:space="0" w:color="auto"/>
            <w:bottom w:val="none" w:sz="0" w:space="0" w:color="auto"/>
            <w:right w:val="none" w:sz="0" w:space="0" w:color="auto"/>
          </w:divBdr>
        </w:div>
        <w:div w:id="1552880811">
          <w:marLeft w:val="0"/>
          <w:marRight w:val="0"/>
          <w:marTop w:val="0"/>
          <w:marBottom w:val="0"/>
          <w:divBdr>
            <w:top w:val="none" w:sz="0" w:space="0" w:color="auto"/>
            <w:left w:val="none" w:sz="0" w:space="0" w:color="auto"/>
            <w:bottom w:val="none" w:sz="0" w:space="0" w:color="auto"/>
            <w:right w:val="none" w:sz="0" w:space="0" w:color="auto"/>
          </w:divBdr>
        </w:div>
        <w:div w:id="1660647449">
          <w:marLeft w:val="0"/>
          <w:marRight w:val="0"/>
          <w:marTop w:val="0"/>
          <w:marBottom w:val="0"/>
          <w:divBdr>
            <w:top w:val="none" w:sz="0" w:space="0" w:color="auto"/>
            <w:left w:val="none" w:sz="0" w:space="0" w:color="auto"/>
            <w:bottom w:val="none" w:sz="0" w:space="0" w:color="auto"/>
            <w:right w:val="none" w:sz="0" w:space="0" w:color="auto"/>
          </w:divBdr>
        </w:div>
        <w:div w:id="277374530">
          <w:marLeft w:val="0"/>
          <w:marRight w:val="0"/>
          <w:marTop w:val="0"/>
          <w:marBottom w:val="0"/>
          <w:divBdr>
            <w:top w:val="none" w:sz="0" w:space="0" w:color="auto"/>
            <w:left w:val="none" w:sz="0" w:space="0" w:color="auto"/>
            <w:bottom w:val="none" w:sz="0" w:space="0" w:color="auto"/>
            <w:right w:val="none" w:sz="0" w:space="0" w:color="auto"/>
          </w:divBdr>
        </w:div>
        <w:div w:id="142700440">
          <w:marLeft w:val="0"/>
          <w:marRight w:val="0"/>
          <w:marTop w:val="0"/>
          <w:marBottom w:val="0"/>
          <w:divBdr>
            <w:top w:val="none" w:sz="0" w:space="0" w:color="auto"/>
            <w:left w:val="none" w:sz="0" w:space="0" w:color="auto"/>
            <w:bottom w:val="none" w:sz="0" w:space="0" w:color="auto"/>
            <w:right w:val="none" w:sz="0" w:space="0" w:color="auto"/>
          </w:divBdr>
        </w:div>
        <w:div w:id="813328944">
          <w:marLeft w:val="0"/>
          <w:marRight w:val="0"/>
          <w:marTop w:val="0"/>
          <w:marBottom w:val="0"/>
          <w:divBdr>
            <w:top w:val="none" w:sz="0" w:space="0" w:color="auto"/>
            <w:left w:val="none" w:sz="0" w:space="0" w:color="auto"/>
            <w:bottom w:val="none" w:sz="0" w:space="0" w:color="auto"/>
            <w:right w:val="none" w:sz="0" w:space="0" w:color="auto"/>
          </w:divBdr>
        </w:div>
        <w:div w:id="1804304165">
          <w:marLeft w:val="0"/>
          <w:marRight w:val="0"/>
          <w:marTop w:val="0"/>
          <w:marBottom w:val="0"/>
          <w:divBdr>
            <w:top w:val="none" w:sz="0" w:space="0" w:color="auto"/>
            <w:left w:val="none" w:sz="0" w:space="0" w:color="auto"/>
            <w:bottom w:val="none" w:sz="0" w:space="0" w:color="auto"/>
            <w:right w:val="none" w:sz="0" w:space="0" w:color="auto"/>
          </w:divBdr>
        </w:div>
        <w:div w:id="1617911673">
          <w:marLeft w:val="0"/>
          <w:marRight w:val="0"/>
          <w:marTop w:val="0"/>
          <w:marBottom w:val="0"/>
          <w:divBdr>
            <w:top w:val="none" w:sz="0" w:space="0" w:color="auto"/>
            <w:left w:val="none" w:sz="0" w:space="0" w:color="auto"/>
            <w:bottom w:val="none" w:sz="0" w:space="0" w:color="auto"/>
            <w:right w:val="none" w:sz="0" w:space="0" w:color="auto"/>
          </w:divBdr>
        </w:div>
        <w:div w:id="1472093744">
          <w:marLeft w:val="0"/>
          <w:marRight w:val="0"/>
          <w:marTop w:val="0"/>
          <w:marBottom w:val="0"/>
          <w:divBdr>
            <w:top w:val="none" w:sz="0" w:space="0" w:color="auto"/>
            <w:left w:val="none" w:sz="0" w:space="0" w:color="auto"/>
            <w:bottom w:val="none" w:sz="0" w:space="0" w:color="auto"/>
            <w:right w:val="none" w:sz="0" w:space="0" w:color="auto"/>
          </w:divBdr>
        </w:div>
        <w:div w:id="2062777802">
          <w:marLeft w:val="0"/>
          <w:marRight w:val="0"/>
          <w:marTop w:val="0"/>
          <w:marBottom w:val="0"/>
          <w:divBdr>
            <w:top w:val="none" w:sz="0" w:space="0" w:color="auto"/>
            <w:left w:val="none" w:sz="0" w:space="0" w:color="auto"/>
            <w:bottom w:val="none" w:sz="0" w:space="0" w:color="auto"/>
            <w:right w:val="none" w:sz="0" w:space="0" w:color="auto"/>
          </w:divBdr>
        </w:div>
        <w:div w:id="1233006659">
          <w:marLeft w:val="0"/>
          <w:marRight w:val="0"/>
          <w:marTop w:val="0"/>
          <w:marBottom w:val="0"/>
          <w:divBdr>
            <w:top w:val="none" w:sz="0" w:space="0" w:color="auto"/>
            <w:left w:val="none" w:sz="0" w:space="0" w:color="auto"/>
            <w:bottom w:val="none" w:sz="0" w:space="0" w:color="auto"/>
            <w:right w:val="none" w:sz="0" w:space="0" w:color="auto"/>
          </w:divBdr>
        </w:div>
        <w:div w:id="284165618">
          <w:marLeft w:val="0"/>
          <w:marRight w:val="0"/>
          <w:marTop w:val="0"/>
          <w:marBottom w:val="0"/>
          <w:divBdr>
            <w:top w:val="none" w:sz="0" w:space="0" w:color="auto"/>
            <w:left w:val="none" w:sz="0" w:space="0" w:color="auto"/>
            <w:bottom w:val="none" w:sz="0" w:space="0" w:color="auto"/>
            <w:right w:val="none" w:sz="0" w:space="0" w:color="auto"/>
          </w:divBdr>
        </w:div>
        <w:div w:id="815027724">
          <w:marLeft w:val="0"/>
          <w:marRight w:val="0"/>
          <w:marTop w:val="0"/>
          <w:marBottom w:val="0"/>
          <w:divBdr>
            <w:top w:val="none" w:sz="0" w:space="0" w:color="auto"/>
            <w:left w:val="none" w:sz="0" w:space="0" w:color="auto"/>
            <w:bottom w:val="none" w:sz="0" w:space="0" w:color="auto"/>
            <w:right w:val="none" w:sz="0" w:space="0" w:color="auto"/>
          </w:divBdr>
        </w:div>
        <w:div w:id="911768411">
          <w:marLeft w:val="0"/>
          <w:marRight w:val="0"/>
          <w:marTop w:val="0"/>
          <w:marBottom w:val="0"/>
          <w:divBdr>
            <w:top w:val="none" w:sz="0" w:space="0" w:color="auto"/>
            <w:left w:val="none" w:sz="0" w:space="0" w:color="auto"/>
            <w:bottom w:val="none" w:sz="0" w:space="0" w:color="auto"/>
            <w:right w:val="none" w:sz="0" w:space="0" w:color="auto"/>
          </w:divBdr>
        </w:div>
        <w:div w:id="2134984551">
          <w:marLeft w:val="0"/>
          <w:marRight w:val="0"/>
          <w:marTop w:val="0"/>
          <w:marBottom w:val="0"/>
          <w:divBdr>
            <w:top w:val="none" w:sz="0" w:space="0" w:color="auto"/>
            <w:left w:val="none" w:sz="0" w:space="0" w:color="auto"/>
            <w:bottom w:val="none" w:sz="0" w:space="0" w:color="auto"/>
            <w:right w:val="none" w:sz="0" w:space="0" w:color="auto"/>
          </w:divBdr>
        </w:div>
        <w:div w:id="1165323900">
          <w:marLeft w:val="0"/>
          <w:marRight w:val="0"/>
          <w:marTop w:val="0"/>
          <w:marBottom w:val="0"/>
          <w:divBdr>
            <w:top w:val="none" w:sz="0" w:space="0" w:color="auto"/>
            <w:left w:val="none" w:sz="0" w:space="0" w:color="auto"/>
            <w:bottom w:val="none" w:sz="0" w:space="0" w:color="auto"/>
            <w:right w:val="none" w:sz="0" w:space="0" w:color="auto"/>
          </w:divBdr>
        </w:div>
        <w:div w:id="1193422338">
          <w:marLeft w:val="0"/>
          <w:marRight w:val="0"/>
          <w:marTop w:val="0"/>
          <w:marBottom w:val="0"/>
          <w:divBdr>
            <w:top w:val="none" w:sz="0" w:space="0" w:color="auto"/>
            <w:left w:val="none" w:sz="0" w:space="0" w:color="auto"/>
            <w:bottom w:val="none" w:sz="0" w:space="0" w:color="auto"/>
            <w:right w:val="none" w:sz="0" w:space="0" w:color="auto"/>
          </w:divBdr>
        </w:div>
        <w:div w:id="164253180">
          <w:marLeft w:val="0"/>
          <w:marRight w:val="0"/>
          <w:marTop w:val="0"/>
          <w:marBottom w:val="0"/>
          <w:divBdr>
            <w:top w:val="none" w:sz="0" w:space="0" w:color="auto"/>
            <w:left w:val="none" w:sz="0" w:space="0" w:color="auto"/>
            <w:bottom w:val="none" w:sz="0" w:space="0" w:color="auto"/>
            <w:right w:val="none" w:sz="0" w:space="0" w:color="auto"/>
          </w:divBdr>
        </w:div>
        <w:div w:id="1843811319">
          <w:marLeft w:val="0"/>
          <w:marRight w:val="0"/>
          <w:marTop w:val="0"/>
          <w:marBottom w:val="0"/>
          <w:divBdr>
            <w:top w:val="none" w:sz="0" w:space="0" w:color="auto"/>
            <w:left w:val="none" w:sz="0" w:space="0" w:color="auto"/>
            <w:bottom w:val="none" w:sz="0" w:space="0" w:color="auto"/>
            <w:right w:val="none" w:sz="0" w:space="0" w:color="auto"/>
          </w:divBdr>
        </w:div>
        <w:div w:id="987170457">
          <w:marLeft w:val="0"/>
          <w:marRight w:val="0"/>
          <w:marTop w:val="0"/>
          <w:marBottom w:val="0"/>
          <w:divBdr>
            <w:top w:val="none" w:sz="0" w:space="0" w:color="auto"/>
            <w:left w:val="none" w:sz="0" w:space="0" w:color="auto"/>
            <w:bottom w:val="none" w:sz="0" w:space="0" w:color="auto"/>
            <w:right w:val="none" w:sz="0" w:space="0" w:color="auto"/>
          </w:divBdr>
        </w:div>
        <w:div w:id="833683498">
          <w:marLeft w:val="0"/>
          <w:marRight w:val="0"/>
          <w:marTop w:val="0"/>
          <w:marBottom w:val="0"/>
          <w:divBdr>
            <w:top w:val="none" w:sz="0" w:space="0" w:color="auto"/>
            <w:left w:val="none" w:sz="0" w:space="0" w:color="auto"/>
            <w:bottom w:val="none" w:sz="0" w:space="0" w:color="auto"/>
            <w:right w:val="none" w:sz="0" w:space="0" w:color="auto"/>
          </w:divBdr>
        </w:div>
        <w:div w:id="1198738316">
          <w:marLeft w:val="0"/>
          <w:marRight w:val="0"/>
          <w:marTop w:val="0"/>
          <w:marBottom w:val="0"/>
          <w:divBdr>
            <w:top w:val="none" w:sz="0" w:space="0" w:color="auto"/>
            <w:left w:val="none" w:sz="0" w:space="0" w:color="auto"/>
            <w:bottom w:val="none" w:sz="0" w:space="0" w:color="auto"/>
            <w:right w:val="none" w:sz="0" w:space="0" w:color="auto"/>
          </w:divBdr>
        </w:div>
        <w:div w:id="1327317113">
          <w:marLeft w:val="0"/>
          <w:marRight w:val="0"/>
          <w:marTop w:val="0"/>
          <w:marBottom w:val="0"/>
          <w:divBdr>
            <w:top w:val="none" w:sz="0" w:space="0" w:color="auto"/>
            <w:left w:val="none" w:sz="0" w:space="0" w:color="auto"/>
            <w:bottom w:val="none" w:sz="0" w:space="0" w:color="auto"/>
            <w:right w:val="none" w:sz="0" w:space="0" w:color="auto"/>
          </w:divBdr>
        </w:div>
        <w:div w:id="159085904">
          <w:marLeft w:val="0"/>
          <w:marRight w:val="0"/>
          <w:marTop w:val="0"/>
          <w:marBottom w:val="0"/>
          <w:divBdr>
            <w:top w:val="none" w:sz="0" w:space="0" w:color="auto"/>
            <w:left w:val="none" w:sz="0" w:space="0" w:color="auto"/>
            <w:bottom w:val="none" w:sz="0" w:space="0" w:color="auto"/>
            <w:right w:val="none" w:sz="0" w:space="0" w:color="auto"/>
          </w:divBdr>
        </w:div>
        <w:div w:id="436871295">
          <w:marLeft w:val="0"/>
          <w:marRight w:val="0"/>
          <w:marTop w:val="0"/>
          <w:marBottom w:val="0"/>
          <w:divBdr>
            <w:top w:val="none" w:sz="0" w:space="0" w:color="auto"/>
            <w:left w:val="none" w:sz="0" w:space="0" w:color="auto"/>
            <w:bottom w:val="none" w:sz="0" w:space="0" w:color="auto"/>
            <w:right w:val="none" w:sz="0" w:space="0" w:color="auto"/>
          </w:divBdr>
        </w:div>
        <w:div w:id="908996357">
          <w:marLeft w:val="0"/>
          <w:marRight w:val="0"/>
          <w:marTop w:val="0"/>
          <w:marBottom w:val="0"/>
          <w:divBdr>
            <w:top w:val="none" w:sz="0" w:space="0" w:color="auto"/>
            <w:left w:val="none" w:sz="0" w:space="0" w:color="auto"/>
            <w:bottom w:val="none" w:sz="0" w:space="0" w:color="auto"/>
            <w:right w:val="none" w:sz="0" w:space="0" w:color="auto"/>
          </w:divBdr>
        </w:div>
        <w:div w:id="1538082363">
          <w:marLeft w:val="0"/>
          <w:marRight w:val="0"/>
          <w:marTop w:val="0"/>
          <w:marBottom w:val="0"/>
          <w:divBdr>
            <w:top w:val="none" w:sz="0" w:space="0" w:color="auto"/>
            <w:left w:val="none" w:sz="0" w:space="0" w:color="auto"/>
            <w:bottom w:val="none" w:sz="0" w:space="0" w:color="auto"/>
            <w:right w:val="none" w:sz="0" w:space="0" w:color="auto"/>
          </w:divBdr>
        </w:div>
        <w:div w:id="1823692612">
          <w:marLeft w:val="0"/>
          <w:marRight w:val="0"/>
          <w:marTop w:val="0"/>
          <w:marBottom w:val="0"/>
          <w:divBdr>
            <w:top w:val="none" w:sz="0" w:space="0" w:color="auto"/>
            <w:left w:val="none" w:sz="0" w:space="0" w:color="auto"/>
            <w:bottom w:val="none" w:sz="0" w:space="0" w:color="auto"/>
            <w:right w:val="none" w:sz="0" w:space="0" w:color="auto"/>
          </w:divBdr>
        </w:div>
        <w:div w:id="1735154786">
          <w:marLeft w:val="0"/>
          <w:marRight w:val="0"/>
          <w:marTop w:val="0"/>
          <w:marBottom w:val="0"/>
          <w:divBdr>
            <w:top w:val="none" w:sz="0" w:space="0" w:color="auto"/>
            <w:left w:val="none" w:sz="0" w:space="0" w:color="auto"/>
            <w:bottom w:val="none" w:sz="0" w:space="0" w:color="auto"/>
            <w:right w:val="none" w:sz="0" w:space="0" w:color="auto"/>
          </w:divBdr>
        </w:div>
        <w:div w:id="890268414">
          <w:marLeft w:val="0"/>
          <w:marRight w:val="0"/>
          <w:marTop w:val="0"/>
          <w:marBottom w:val="0"/>
          <w:divBdr>
            <w:top w:val="none" w:sz="0" w:space="0" w:color="auto"/>
            <w:left w:val="none" w:sz="0" w:space="0" w:color="auto"/>
            <w:bottom w:val="none" w:sz="0" w:space="0" w:color="auto"/>
            <w:right w:val="none" w:sz="0" w:space="0" w:color="auto"/>
          </w:divBdr>
        </w:div>
        <w:div w:id="916476525">
          <w:marLeft w:val="0"/>
          <w:marRight w:val="0"/>
          <w:marTop w:val="0"/>
          <w:marBottom w:val="0"/>
          <w:divBdr>
            <w:top w:val="none" w:sz="0" w:space="0" w:color="auto"/>
            <w:left w:val="none" w:sz="0" w:space="0" w:color="auto"/>
            <w:bottom w:val="none" w:sz="0" w:space="0" w:color="auto"/>
            <w:right w:val="none" w:sz="0" w:space="0" w:color="auto"/>
          </w:divBdr>
        </w:div>
        <w:div w:id="1217087606">
          <w:marLeft w:val="0"/>
          <w:marRight w:val="0"/>
          <w:marTop w:val="0"/>
          <w:marBottom w:val="0"/>
          <w:divBdr>
            <w:top w:val="none" w:sz="0" w:space="0" w:color="auto"/>
            <w:left w:val="none" w:sz="0" w:space="0" w:color="auto"/>
            <w:bottom w:val="none" w:sz="0" w:space="0" w:color="auto"/>
            <w:right w:val="none" w:sz="0" w:space="0" w:color="auto"/>
          </w:divBdr>
        </w:div>
        <w:div w:id="1860855918">
          <w:marLeft w:val="0"/>
          <w:marRight w:val="0"/>
          <w:marTop w:val="0"/>
          <w:marBottom w:val="0"/>
          <w:divBdr>
            <w:top w:val="none" w:sz="0" w:space="0" w:color="auto"/>
            <w:left w:val="none" w:sz="0" w:space="0" w:color="auto"/>
            <w:bottom w:val="none" w:sz="0" w:space="0" w:color="auto"/>
            <w:right w:val="none" w:sz="0" w:space="0" w:color="auto"/>
          </w:divBdr>
        </w:div>
        <w:div w:id="1827084478">
          <w:marLeft w:val="0"/>
          <w:marRight w:val="0"/>
          <w:marTop w:val="0"/>
          <w:marBottom w:val="0"/>
          <w:divBdr>
            <w:top w:val="none" w:sz="0" w:space="0" w:color="auto"/>
            <w:left w:val="none" w:sz="0" w:space="0" w:color="auto"/>
            <w:bottom w:val="none" w:sz="0" w:space="0" w:color="auto"/>
            <w:right w:val="none" w:sz="0" w:space="0" w:color="auto"/>
          </w:divBdr>
        </w:div>
        <w:div w:id="1027943902">
          <w:marLeft w:val="0"/>
          <w:marRight w:val="0"/>
          <w:marTop w:val="0"/>
          <w:marBottom w:val="0"/>
          <w:divBdr>
            <w:top w:val="none" w:sz="0" w:space="0" w:color="auto"/>
            <w:left w:val="none" w:sz="0" w:space="0" w:color="auto"/>
            <w:bottom w:val="none" w:sz="0" w:space="0" w:color="auto"/>
            <w:right w:val="none" w:sz="0" w:space="0" w:color="auto"/>
          </w:divBdr>
        </w:div>
        <w:div w:id="1138839171">
          <w:marLeft w:val="0"/>
          <w:marRight w:val="0"/>
          <w:marTop w:val="0"/>
          <w:marBottom w:val="0"/>
          <w:divBdr>
            <w:top w:val="none" w:sz="0" w:space="0" w:color="auto"/>
            <w:left w:val="none" w:sz="0" w:space="0" w:color="auto"/>
            <w:bottom w:val="none" w:sz="0" w:space="0" w:color="auto"/>
            <w:right w:val="none" w:sz="0" w:space="0" w:color="auto"/>
          </w:divBdr>
        </w:div>
        <w:div w:id="256141139">
          <w:marLeft w:val="0"/>
          <w:marRight w:val="0"/>
          <w:marTop w:val="0"/>
          <w:marBottom w:val="0"/>
          <w:divBdr>
            <w:top w:val="none" w:sz="0" w:space="0" w:color="auto"/>
            <w:left w:val="none" w:sz="0" w:space="0" w:color="auto"/>
            <w:bottom w:val="none" w:sz="0" w:space="0" w:color="auto"/>
            <w:right w:val="none" w:sz="0" w:space="0" w:color="auto"/>
          </w:divBdr>
        </w:div>
        <w:div w:id="187989036">
          <w:marLeft w:val="0"/>
          <w:marRight w:val="0"/>
          <w:marTop w:val="0"/>
          <w:marBottom w:val="0"/>
          <w:divBdr>
            <w:top w:val="none" w:sz="0" w:space="0" w:color="auto"/>
            <w:left w:val="none" w:sz="0" w:space="0" w:color="auto"/>
            <w:bottom w:val="none" w:sz="0" w:space="0" w:color="auto"/>
            <w:right w:val="none" w:sz="0" w:space="0" w:color="auto"/>
          </w:divBdr>
        </w:div>
        <w:div w:id="1615363754">
          <w:marLeft w:val="0"/>
          <w:marRight w:val="0"/>
          <w:marTop w:val="0"/>
          <w:marBottom w:val="0"/>
          <w:divBdr>
            <w:top w:val="none" w:sz="0" w:space="0" w:color="auto"/>
            <w:left w:val="none" w:sz="0" w:space="0" w:color="auto"/>
            <w:bottom w:val="none" w:sz="0" w:space="0" w:color="auto"/>
            <w:right w:val="none" w:sz="0" w:space="0" w:color="auto"/>
          </w:divBdr>
        </w:div>
        <w:div w:id="1576206449">
          <w:marLeft w:val="0"/>
          <w:marRight w:val="0"/>
          <w:marTop w:val="0"/>
          <w:marBottom w:val="0"/>
          <w:divBdr>
            <w:top w:val="none" w:sz="0" w:space="0" w:color="auto"/>
            <w:left w:val="none" w:sz="0" w:space="0" w:color="auto"/>
            <w:bottom w:val="none" w:sz="0" w:space="0" w:color="auto"/>
            <w:right w:val="none" w:sz="0" w:space="0" w:color="auto"/>
          </w:divBdr>
        </w:div>
        <w:div w:id="30226408">
          <w:marLeft w:val="0"/>
          <w:marRight w:val="0"/>
          <w:marTop w:val="0"/>
          <w:marBottom w:val="0"/>
          <w:divBdr>
            <w:top w:val="none" w:sz="0" w:space="0" w:color="auto"/>
            <w:left w:val="none" w:sz="0" w:space="0" w:color="auto"/>
            <w:bottom w:val="none" w:sz="0" w:space="0" w:color="auto"/>
            <w:right w:val="none" w:sz="0" w:space="0" w:color="auto"/>
          </w:divBdr>
        </w:div>
        <w:div w:id="1287541283">
          <w:marLeft w:val="0"/>
          <w:marRight w:val="0"/>
          <w:marTop w:val="0"/>
          <w:marBottom w:val="0"/>
          <w:divBdr>
            <w:top w:val="none" w:sz="0" w:space="0" w:color="auto"/>
            <w:left w:val="none" w:sz="0" w:space="0" w:color="auto"/>
            <w:bottom w:val="none" w:sz="0" w:space="0" w:color="auto"/>
            <w:right w:val="none" w:sz="0" w:space="0" w:color="auto"/>
          </w:divBdr>
        </w:div>
        <w:div w:id="867640629">
          <w:marLeft w:val="0"/>
          <w:marRight w:val="0"/>
          <w:marTop w:val="0"/>
          <w:marBottom w:val="0"/>
          <w:divBdr>
            <w:top w:val="none" w:sz="0" w:space="0" w:color="auto"/>
            <w:left w:val="none" w:sz="0" w:space="0" w:color="auto"/>
            <w:bottom w:val="none" w:sz="0" w:space="0" w:color="auto"/>
            <w:right w:val="none" w:sz="0" w:space="0" w:color="auto"/>
          </w:divBdr>
        </w:div>
        <w:div w:id="2008095040">
          <w:marLeft w:val="0"/>
          <w:marRight w:val="0"/>
          <w:marTop w:val="0"/>
          <w:marBottom w:val="0"/>
          <w:divBdr>
            <w:top w:val="none" w:sz="0" w:space="0" w:color="auto"/>
            <w:left w:val="none" w:sz="0" w:space="0" w:color="auto"/>
            <w:bottom w:val="none" w:sz="0" w:space="0" w:color="auto"/>
            <w:right w:val="none" w:sz="0" w:space="0" w:color="auto"/>
          </w:divBdr>
        </w:div>
        <w:div w:id="796072823">
          <w:marLeft w:val="0"/>
          <w:marRight w:val="0"/>
          <w:marTop w:val="0"/>
          <w:marBottom w:val="0"/>
          <w:divBdr>
            <w:top w:val="none" w:sz="0" w:space="0" w:color="auto"/>
            <w:left w:val="none" w:sz="0" w:space="0" w:color="auto"/>
            <w:bottom w:val="none" w:sz="0" w:space="0" w:color="auto"/>
            <w:right w:val="none" w:sz="0" w:space="0" w:color="auto"/>
          </w:divBdr>
        </w:div>
        <w:div w:id="615723147">
          <w:marLeft w:val="0"/>
          <w:marRight w:val="0"/>
          <w:marTop w:val="0"/>
          <w:marBottom w:val="0"/>
          <w:divBdr>
            <w:top w:val="none" w:sz="0" w:space="0" w:color="auto"/>
            <w:left w:val="none" w:sz="0" w:space="0" w:color="auto"/>
            <w:bottom w:val="none" w:sz="0" w:space="0" w:color="auto"/>
            <w:right w:val="none" w:sz="0" w:space="0" w:color="auto"/>
          </w:divBdr>
        </w:div>
        <w:div w:id="1390954916">
          <w:marLeft w:val="0"/>
          <w:marRight w:val="0"/>
          <w:marTop w:val="0"/>
          <w:marBottom w:val="0"/>
          <w:divBdr>
            <w:top w:val="none" w:sz="0" w:space="0" w:color="auto"/>
            <w:left w:val="none" w:sz="0" w:space="0" w:color="auto"/>
            <w:bottom w:val="none" w:sz="0" w:space="0" w:color="auto"/>
            <w:right w:val="none" w:sz="0" w:space="0" w:color="auto"/>
          </w:divBdr>
        </w:div>
        <w:div w:id="853347377">
          <w:marLeft w:val="0"/>
          <w:marRight w:val="0"/>
          <w:marTop w:val="0"/>
          <w:marBottom w:val="0"/>
          <w:divBdr>
            <w:top w:val="none" w:sz="0" w:space="0" w:color="auto"/>
            <w:left w:val="none" w:sz="0" w:space="0" w:color="auto"/>
            <w:bottom w:val="none" w:sz="0" w:space="0" w:color="auto"/>
            <w:right w:val="none" w:sz="0" w:space="0" w:color="auto"/>
          </w:divBdr>
        </w:div>
        <w:div w:id="885213741">
          <w:marLeft w:val="0"/>
          <w:marRight w:val="0"/>
          <w:marTop w:val="0"/>
          <w:marBottom w:val="0"/>
          <w:divBdr>
            <w:top w:val="none" w:sz="0" w:space="0" w:color="auto"/>
            <w:left w:val="none" w:sz="0" w:space="0" w:color="auto"/>
            <w:bottom w:val="none" w:sz="0" w:space="0" w:color="auto"/>
            <w:right w:val="none" w:sz="0" w:space="0" w:color="auto"/>
          </w:divBdr>
        </w:div>
        <w:div w:id="811757161">
          <w:marLeft w:val="0"/>
          <w:marRight w:val="0"/>
          <w:marTop w:val="0"/>
          <w:marBottom w:val="0"/>
          <w:divBdr>
            <w:top w:val="none" w:sz="0" w:space="0" w:color="auto"/>
            <w:left w:val="none" w:sz="0" w:space="0" w:color="auto"/>
            <w:bottom w:val="none" w:sz="0" w:space="0" w:color="auto"/>
            <w:right w:val="none" w:sz="0" w:space="0" w:color="auto"/>
          </w:divBdr>
        </w:div>
      </w:divsChild>
    </w:div>
    <w:div w:id="1560749208">
      <w:bodyDiv w:val="1"/>
      <w:marLeft w:val="0"/>
      <w:marRight w:val="0"/>
      <w:marTop w:val="0"/>
      <w:marBottom w:val="0"/>
      <w:divBdr>
        <w:top w:val="none" w:sz="0" w:space="0" w:color="auto"/>
        <w:left w:val="none" w:sz="0" w:space="0" w:color="auto"/>
        <w:bottom w:val="none" w:sz="0" w:space="0" w:color="auto"/>
        <w:right w:val="none" w:sz="0" w:space="0" w:color="auto"/>
      </w:divBdr>
      <w:divsChild>
        <w:div w:id="695931563">
          <w:marLeft w:val="0"/>
          <w:marRight w:val="0"/>
          <w:marTop w:val="0"/>
          <w:marBottom w:val="0"/>
          <w:divBdr>
            <w:top w:val="none" w:sz="0" w:space="0" w:color="auto"/>
            <w:left w:val="none" w:sz="0" w:space="0" w:color="auto"/>
            <w:bottom w:val="none" w:sz="0" w:space="0" w:color="auto"/>
            <w:right w:val="none" w:sz="0" w:space="0" w:color="auto"/>
          </w:divBdr>
        </w:div>
        <w:div w:id="1052313891">
          <w:marLeft w:val="0"/>
          <w:marRight w:val="0"/>
          <w:marTop w:val="0"/>
          <w:marBottom w:val="0"/>
          <w:divBdr>
            <w:top w:val="none" w:sz="0" w:space="0" w:color="auto"/>
            <w:left w:val="none" w:sz="0" w:space="0" w:color="auto"/>
            <w:bottom w:val="none" w:sz="0" w:space="0" w:color="auto"/>
            <w:right w:val="none" w:sz="0" w:space="0" w:color="auto"/>
          </w:divBdr>
        </w:div>
        <w:div w:id="192497649">
          <w:marLeft w:val="0"/>
          <w:marRight w:val="0"/>
          <w:marTop w:val="0"/>
          <w:marBottom w:val="0"/>
          <w:divBdr>
            <w:top w:val="none" w:sz="0" w:space="0" w:color="auto"/>
            <w:left w:val="none" w:sz="0" w:space="0" w:color="auto"/>
            <w:bottom w:val="none" w:sz="0" w:space="0" w:color="auto"/>
            <w:right w:val="none" w:sz="0" w:space="0" w:color="auto"/>
          </w:divBdr>
        </w:div>
        <w:div w:id="2138252627">
          <w:marLeft w:val="0"/>
          <w:marRight w:val="0"/>
          <w:marTop w:val="0"/>
          <w:marBottom w:val="0"/>
          <w:divBdr>
            <w:top w:val="none" w:sz="0" w:space="0" w:color="auto"/>
            <w:left w:val="none" w:sz="0" w:space="0" w:color="auto"/>
            <w:bottom w:val="none" w:sz="0" w:space="0" w:color="auto"/>
            <w:right w:val="none" w:sz="0" w:space="0" w:color="auto"/>
          </w:divBdr>
        </w:div>
        <w:div w:id="106194747">
          <w:marLeft w:val="0"/>
          <w:marRight w:val="0"/>
          <w:marTop w:val="0"/>
          <w:marBottom w:val="0"/>
          <w:divBdr>
            <w:top w:val="none" w:sz="0" w:space="0" w:color="auto"/>
            <w:left w:val="none" w:sz="0" w:space="0" w:color="auto"/>
            <w:bottom w:val="none" w:sz="0" w:space="0" w:color="auto"/>
            <w:right w:val="none" w:sz="0" w:space="0" w:color="auto"/>
          </w:divBdr>
        </w:div>
      </w:divsChild>
    </w:div>
    <w:div w:id="1772814706">
      <w:bodyDiv w:val="1"/>
      <w:marLeft w:val="0"/>
      <w:marRight w:val="0"/>
      <w:marTop w:val="0"/>
      <w:marBottom w:val="0"/>
      <w:divBdr>
        <w:top w:val="none" w:sz="0" w:space="0" w:color="auto"/>
        <w:left w:val="none" w:sz="0" w:space="0" w:color="auto"/>
        <w:bottom w:val="none" w:sz="0" w:space="0" w:color="auto"/>
        <w:right w:val="none" w:sz="0" w:space="0" w:color="auto"/>
      </w:divBdr>
    </w:div>
    <w:div w:id="1824589380">
      <w:bodyDiv w:val="1"/>
      <w:marLeft w:val="0"/>
      <w:marRight w:val="0"/>
      <w:marTop w:val="0"/>
      <w:marBottom w:val="0"/>
      <w:divBdr>
        <w:top w:val="none" w:sz="0" w:space="0" w:color="auto"/>
        <w:left w:val="none" w:sz="0" w:space="0" w:color="auto"/>
        <w:bottom w:val="none" w:sz="0" w:space="0" w:color="auto"/>
        <w:right w:val="none" w:sz="0" w:space="0" w:color="auto"/>
      </w:divBdr>
      <w:divsChild>
        <w:div w:id="998389958">
          <w:marLeft w:val="0"/>
          <w:marRight w:val="0"/>
          <w:marTop w:val="0"/>
          <w:marBottom w:val="0"/>
          <w:divBdr>
            <w:top w:val="none" w:sz="0" w:space="0" w:color="auto"/>
            <w:left w:val="none" w:sz="0" w:space="0" w:color="auto"/>
            <w:bottom w:val="none" w:sz="0" w:space="0" w:color="auto"/>
            <w:right w:val="none" w:sz="0" w:space="0" w:color="auto"/>
          </w:divBdr>
        </w:div>
        <w:div w:id="790703934">
          <w:marLeft w:val="0"/>
          <w:marRight w:val="0"/>
          <w:marTop w:val="0"/>
          <w:marBottom w:val="0"/>
          <w:divBdr>
            <w:top w:val="none" w:sz="0" w:space="0" w:color="auto"/>
            <w:left w:val="none" w:sz="0" w:space="0" w:color="auto"/>
            <w:bottom w:val="none" w:sz="0" w:space="0" w:color="auto"/>
            <w:right w:val="none" w:sz="0" w:space="0" w:color="auto"/>
          </w:divBdr>
        </w:div>
        <w:div w:id="1726365852">
          <w:marLeft w:val="0"/>
          <w:marRight w:val="0"/>
          <w:marTop w:val="0"/>
          <w:marBottom w:val="0"/>
          <w:divBdr>
            <w:top w:val="none" w:sz="0" w:space="0" w:color="auto"/>
            <w:left w:val="none" w:sz="0" w:space="0" w:color="auto"/>
            <w:bottom w:val="none" w:sz="0" w:space="0" w:color="auto"/>
            <w:right w:val="none" w:sz="0" w:space="0" w:color="auto"/>
          </w:divBdr>
        </w:div>
        <w:div w:id="954799046">
          <w:marLeft w:val="0"/>
          <w:marRight w:val="0"/>
          <w:marTop w:val="0"/>
          <w:marBottom w:val="0"/>
          <w:divBdr>
            <w:top w:val="none" w:sz="0" w:space="0" w:color="auto"/>
            <w:left w:val="none" w:sz="0" w:space="0" w:color="auto"/>
            <w:bottom w:val="none" w:sz="0" w:space="0" w:color="auto"/>
            <w:right w:val="none" w:sz="0" w:space="0" w:color="auto"/>
          </w:divBdr>
        </w:div>
        <w:div w:id="302586068">
          <w:marLeft w:val="0"/>
          <w:marRight w:val="0"/>
          <w:marTop w:val="0"/>
          <w:marBottom w:val="0"/>
          <w:divBdr>
            <w:top w:val="none" w:sz="0" w:space="0" w:color="auto"/>
            <w:left w:val="none" w:sz="0" w:space="0" w:color="auto"/>
            <w:bottom w:val="none" w:sz="0" w:space="0" w:color="auto"/>
            <w:right w:val="none" w:sz="0" w:space="0" w:color="auto"/>
          </w:divBdr>
        </w:div>
        <w:div w:id="2110852403">
          <w:marLeft w:val="0"/>
          <w:marRight w:val="0"/>
          <w:marTop w:val="0"/>
          <w:marBottom w:val="0"/>
          <w:divBdr>
            <w:top w:val="none" w:sz="0" w:space="0" w:color="auto"/>
            <w:left w:val="none" w:sz="0" w:space="0" w:color="auto"/>
            <w:bottom w:val="none" w:sz="0" w:space="0" w:color="auto"/>
            <w:right w:val="none" w:sz="0" w:space="0" w:color="auto"/>
          </w:divBdr>
        </w:div>
      </w:divsChild>
    </w:div>
    <w:div w:id="1899322361">
      <w:bodyDiv w:val="1"/>
      <w:marLeft w:val="0"/>
      <w:marRight w:val="0"/>
      <w:marTop w:val="0"/>
      <w:marBottom w:val="0"/>
      <w:divBdr>
        <w:top w:val="none" w:sz="0" w:space="0" w:color="auto"/>
        <w:left w:val="none" w:sz="0" w:space="0" w:color="auto"/>
        <w:bottom w:val="none" w:sz="0" w:space="0" w:color="auto"/>
        <w:right w:val="none" w:sz="0" w:space="0" w:color="auto"/>
      </w:divBdr>
      <w:divsChild>
        <w:div w:id="2022852511">
          <w:marLeft w:val="0"/>
          <w:marRight w:val="0"/>
          <w:marTop w:val="0"/>
          <w:marBottom w:val="0"/>
          <w:divBdr>
            <w:top w:val="none" w:sz="0" w:space="0" w:color="auto"/>
            <w:left w:val="none" w:sz="0" w:space="0" w:color="auto"/>
            <w:bottom w:val="none" w:sz="0" w:space="0" w:color="auto"/>
            <w:right w:val="none" w:sz="0" w:space="0" w:color="auto"/>
          </w:divBdr>
        </w:div>
        <w:div w:id="1093628212">
          <w:marLeft w:val="0"/>
          <w:marRight w:val="0"/>
          <w:marTop w:val="0"/>
          <w:marBottom w:val="0"/>
          <w:divBdr>
            <w:top w:val="none" w:sz="0" w:space="0" w:color="auto"/>
            <w:left w:val="none" w:sz="0" w:space="0" w:color="auto"/>
            <w:bottom w:val="none" w:sz="0" w:space="0" w:color="auto"/>
            <w:right w:val="none" w:sz="0" w:space="0" w:color="auto"/>
          </w:divBdr>
        </w:div>
        <w:div w:id="2144960247">
          <w:marLeft w:val="0"/>
          <w:marRight w:val="0"/>
          <w:marTop w:val="0"/>
          <w:marBottom w:val="0"/>
          <w:divBdr>
            <w:top w:val="none" w:sz="0" w:space="0" w:color="auto"/>
            <w:left w:val="none" w:sz="0" w:space="0" w:color="auto"/>
            <w:bottom w:val="none" w:sz="0" w:space="0" w:color="auto"/>
            <w:right w:val="none" w:sz="0" w:space="0" w:color="auto"/>
          </w:divBdr>
        </w:div>
        <w:div w:id="7609649">
          <w:marLeft w:val="0"/>
          <w:marRight w:val="0"/>
          <w:marTop w:val="0"/>
          <w:marBottom w:val="0"/>
          <w:divBdr>
            <w:top w:val="none" w:sz="0" w:space="0" w:color="auto"/>
            <w:left w:val="none" w:sz="0" w:space="0" w:color="auto"/>
            <w:bottom w:val="none" w:sz="0" w:space="0" w:color="auto"/>
            <w:right w:val="none" w:sz="0" w:space="0" w:color="auto"/>
          </w:divBdr>
        </w:div>
      </w:divsChild>
    </w:div>
    <w:div w:id="1969505460">
      <w:bodyDiv w:val="1"/>
      <w:marLeft w:val="0"/>
      <w:marRight w:val="0"/>
      <w:marTop w:val="0"/>
      <w:marBottom w:val="0"/>
      <w:divBdr>
        <w:top w:val="none" w:sz="0" w:space="0" w:color="auto"/>
        <w:left w:val="none" w:sz="0" w:space="0" w:color="auto"/>
        <w:bottom w:val="none" w:sz="0" w:space="0" w:color="auto"/>
        <w:right w:val="none" w:sz="0" w:space="0" w:color="auto"/>
      </w:divBdr>
      <w:divsChild>
        <w:div w:id="1059399922">
          <w:marLeft w:val="0"/>
          <w:marRight w:val="0"/>
          <w:marTop w:val="0"/>
          <w:marBottom w:val="0"/>
          <w:divBdr>
            <w:top w:val="none" w:sz="0" w:space="0" w:color="auto"/>
            <w:left w:val="none" w:sz="0" w:space="0" w:color="auto"/>
            <w:bottom w:val="none" w:sz="0" w:space="0" w:color="auto"/>
            <w:right w:val="none" w:sz="0" w:space="0" w:color="auto"/>
          </w:divBdr>
        </w:div>
        <w:div w:id="1635021965">
          <w:marLeft w:val="0"/>
          <w:marRight w:val="0"/>
          <w:marTop w:val="0"/>
          <w:marBottom w:val="0"/>
          <w:divBdr>
            <w:top w:val="none" w:sz="0" w:space="0" w:color="auto"/>
            <w:left w:val="none" w:sz="0" w:space="0" w:color="auto"/>
            <w:bottom w:val="none" w:sz="0" w:space="0" w:color="auto"/>
            <w:right w:val="none" w:sz="0" w:space="0" w:color="auto"/>
          </w:divBdr>
        </w:div>
        <w:div w:id="25377563">
          <w:marLeft w:val="0"/>
          <w:marRight w:val="0"/>
          <w:marTop w:val="0"/>
          <w:marBottom w:val="0"/>
          <w:divBdr>
            <w:top w:val="none" w:sz="0" w:space="0" w:color="auto"/>
            <w:left w:val="none" w:sz="0" w:space="0" w:color="auto"/>
            <w:bottom w:val="none" w:sz="0" w:space="0" w:color="auto"/>
            <w:right w:val="none" w:sz="0" w:space="0" w:color="auto"/>
          </w:divBdr>
        </w:div>
        <w:div w:id="278806192">
          <w:marLeft w:val="0"/>
          <w:marRight w:val="0"/>
          <w:marTop w:val="0"/>
          <w:marBottom w:val="0"/>
          <w:divBdr>
            <w:top w:val="none" w:sz="0" w:space="0" w:color="auto"/>
            <w:left w:val="none" w:sz="0" w:space="0" w:color="auto"/>
            <w:bottom w:val="none" w:sz="0" w:space="0" w:color="auto"/>
            <w:right w:val="none" w:sz="0" w:space="0" w:color="auto"/>
          </w:divBdr>
        </w:div>
        <w:div w:id="1905329605">
          <w:marLeft w:val="0"/>
          <w:marRight w:val="0"/>
          <w:marTop w:val="0"/>
          <w:marBottom w:val="0"/>
          <w:divBdr>
            <w:top w:val="none" w:sz="0" w:space="0" w:color="auto"/>
            <w:left w:val="none" w:sz="0" w:space="0" w:color="auto"/>
            <w:bottom w:val="none" w:sz="0" w:space="0" w:color="auto"/>
            <w:right w:val="none" w:sz="0" w:space="0" w:color="auto"/>
          </w:divBdr>
        </w:div>
        <w:div w:id="1755394831">
          <w:marLeft w:val="0"/>
          <w:marRight w:val="0"/>
          <w:marTop w:val="0"/>
          <w:marBottom w:val="0"/>
          <w:divBdr>
            <w:top w:val="none" w:sz="0" w:space="0" w:color="auto"/>
            <w:left w:val="none" w:sz="0" w:space="0" w:color="auto"/>
            <w:bottom w:val="none" w:sz="0" w:space="0" w:color="auto"/>
            <w:right w:val="none" w:sz="0" w:space="0" w:color="auto"/>
          </w:divBdr>
        </w:div>
        <w:div w:id="1629360469">
          <w:marLeft w:val="0"/>
          <w:marRight w:val="0"/>
          <w:marTop w:val="0"/>
          <w:marBottom w:val="0"/>
          <w:divBdr>
            <w:top w:val="none" w:sz="0" w:space="0" w:color="auto"/>
            <w:left w:val="none" w:sz="0" w:space="0" w:color="auto"/>
            <w:bottom w:val="none" w:sz="0" w:space="0" w:color="auto"/>
            <w:right w:val="none" w:sz="0" w:space="0" w:color="auto"/>
          </w:divBdr>
        </w:div>
        <w:div w:id="7874660">
          <w:marLeft w:val="0"/>
          <w:marRight w:val="0"/>
          <w:marTop w:val="0"/>
          <w:marBottom w:val="0"/>
          <w:divBdr>
            <w:top w:val="none" w:sz="0" w:space="0" w:color="auto"/>
            <w:left w:val="none" w:sz="0" w:space="0" w:color="auto"/>
            <w:bottom w:val="none" w:sz="0" w:space="0" w:color="auto"/>
            <w:right w:val="none" w:sz="0" w:space="0" w:color="auto"/>
          </w:divBdr>
        </w:div>
        <w:div w:id="141045473">
          <w:marLeft w:val="0"/>
          <w:marRight w:val="0"/>
          <w:marTop w:val="0"/>
          <w:marBottom w:val="0"/>
          <w:divBdr>
            <w:top w:val="none" w:sz="0" w:space="0" w:color="auto"/>
            <w:left w:val="none" w:sz="0" w:space="0" w:color="auto"/>
            <w:bottom w:val="none" w:sz="0" w:space="0" w:color="auto"/>
            <w:right w:val="none" w:sz="0" w:space="0" w:color="auto"/>
          </w:divBdr>
        </w:div>
      </w:divsChild>
    </w:div>
    <w:div w:id="1984579292">
      <w:bodyDiv w:val="1"/>
      <w:marLeft w:val="0"/>
      <w:marRight w:val="0"/>
      <w:marTop w:val="0"/>
      <w:marBottom w:val="0"/>
      <w:divBdr>
        <w:top w:val="none" w:sz="0" w:space="0" w:color="auto"/>
        <w:left w:val="none" w:sz="0" w:space="0" w:color="auto"/>
        <w:bottom w:val="none" w:sz="0" w:space="0" w:color="auto"/>
        <w:right w:val="none" w:sz="0" w:space="0" w:color="auto"/>
      </w:divBdr>
      <w:divsChild>
        <w:div w:id="1666203828">
          <w:marLeft w:val="0"/>
          <w:marRight w:val="0"/>
          <w:marTop w:val="0"/>
          <w:marBottom w:val="0"/>
          <w:divBdr>
            <w:top w:val="none" w:sz="0" w:space="0" w:color="auto"/>
            <w:left w:val="none" w:sz="0" w:space="0" w:color="auto"/>
            <w:bottom w:val="none" w:sz="0" w:space="0" w:color="auto"/>
            <w:right w:val="none" w:sz="0" w:space="0" w:color="auto"/>
          </w:divBdr>
        </w:div>
        <w:div w:id="1336420564">
          <w:marLeft w:val="0"/>
          <w:marRight w:val="0"/>
          <w:marTop w:val="0"/>
          <w:marBottom w:val="0"/>
          <w:divBdr>
            <w:top w:val="none" w:sz="0" w:space="0" w:color="auto"/>
            <w:left w:val="none" w:sz="0" w:space="0" w:color="auto"/>
            <w:bottom w:val="none" w:sz="0" w:space="0" w:color="auto"/>
            <w:right w:val="none" w:sz="0" w:space="0" w:color="auto"/>
          </w:divBdr>
        </w:div>
        <w:div w:id="1680888226">
          <w:marLeft w:val="0"/>
          <w:marRight w:val="0"/>
          <w:marTop w:val="0"/>
          <w:marBottom w:val="0"/>
          <w:divBdr>
            <w:top w:val="none" w:sz="0" w:space="0" w:color="auto"/>
            <w:left w:val="none" w:sz="0" w:space="0" w:color="auto"/>
            <w:bottom w:val="none" w:sz="0" w:space="0" w:color="auto"/>
            <w:right w:val="none" w:sz="0" w:space="0" w:color="auto"/>
          </w:divBdr>
        </w:div>
        <w:div w:id="1365671012">
          <w:marLeft w:val="0"/>
          <w:marRight w:val="0"/>
          <w:marTop w:val="0"/>
          <w:marBottom w:val="0"/>
          <w:divBdr>
            <w:top w:val="none" w:sz="0" w:space="0" w:color="auto"/>
            <w:left w:val="none" w:sz="0" w:space="0" w:color="auto"/>
            <w:bottom w:val="none" w:sz="0" w:space="0" w:color="auto"/>
            <w:right w:val="none" w:sz="0" w:space="0" w:color="auto"/>
          </w:divBdr>
        </w:div>
        <w:div w:id="757286825">
          <w:marLeft w:val="0"/>
          <w:marRight w:val="0"/>
          <w:marTop w:val="0"/>
          <w:marBottom w:val="0"/>
          <w:divBdr>
            <w:top w:val="none" w:sz="0" w:space="0" w:color="auto"/>
            <w:left w:val="none" w:sz="0" w:space="0" w:color="auto"/>
            <w:bottom w:val="none" w:sz="0" w:space="0" w:color="auto"/>
            <w:right w:val="none" w:sz="0" w:space="0" w:color="auto"/>
          </w:divBdr>
        </w:div>
        <w:div w:id="1212619391">
          <w:marLeft w:val="0"/>
          <w:marRight w:val="0"/>
          <w:marTop w:val="0"/>
          <w:marBottom w:val="0"/>
          <w:divBdr>
            <w:top w:val="none" w:sz="0" w:space="0" w:color="auto"/>
            <w:left w:val="none" w:sz="0" w:space="0" w:color="auto"/>
            <w:bottom w:val="none" w:sz="0" w:space="0" w:color="auto"/>
            <w:right w:val="none" w:sz="0" w:space="0" w:color="auto"/>
          </w:divBdr>
        </w:div>
        <w:div w:id="393898853">
          <w:marLeft w:val="0"/>
          <w:marRight w:val="0"/>
          <w:marTop w:val="0"/>
          <w:marBottom w:val="0"/>
          <w:divBdr>
            <w:top w:val="none" w:sz="0" w:space="0" w:color="auto"/>
            <w:left w:val="none" w:sz="0" w:space="0" w:color="auto"/>
            <w:bottom w:val="none" w:sz="0" w:space="0" w:color="auto"/>
            <w:right w:val="none" w:sz="0" w:space="0" w:color="auto"/>
          </w:divBdr>
        </w:div>
        <w:div w:id="661736080">
          <w:marLeft w:val="0"/>
          <w:marRight w:val="0"/>
          <w:marTop w:val="0"/>
          <w:marBottom w:val="0"/>
          <w:divBdr>
            <w:top w:val="none" w:sz="0" w:space="0" w:color="auto"/>
            <w:left w:val="none" w:sz="0" w:space="0" w:color="auto"/>
            <w:bottom w:val="none" w:sz="0" w:space="0" w:color="auto"/>
            <w:right w:val="none" w:sz="0" w:space="0" w:color="auto"/>
          </w:divBdr>
        </w:div>
        <w:div w:id="304898506">
          <w:marLeft w:val="0"/>
          <w:marRight w:val="0"/>
          <w:marTop w:val="0"/>
          <w:marBottom w:val="0"/>
          <w:divBdr>
            <w:top w:val="none" w:sz="0" w:space="0" w:color="auto"/>
            <w:left w:val="none" w:sz="0" w:space="0" w:color="auto"/>
            <w:bottom w:val="none" w:sz="0" w:space="0" w:color="auto"/>
            <w:right w:val="none" w:sz="0" w:space="0" w:color="auto"/>
          </w:divBdr>
        </w:div>
        <w:div w:id="688917067">
          <w:marLeft w:val="0"/>
          <w:marRight w:val="0"/>
          <w:marTop w:val="0"/>
          <w:marBottom w:val="0"/>
          <w:divBdr>
            <w:top w:val="none" w:sz="0" w:space="0" w:color="auto"/>
            <w:left w:val="none" w:sz="0" w:space="0" w:color="auto"/>
            <w:bottom w:val="none" w:sz="0" w:space="0" w:color="auto"/>
            <w:right w:val="none" w:sz="0" w:space="0" w:color="auto"/>
          </w:divBdr>
        </w:div>
        <w:div w:id="2090882546">
          <w:marLeft w:val="0"/>
          <w:marRight w:val="0"/>
          <w:marTop w:val="0"/>
          <w:marBottom w:val="0"/>
          <w:divBdr>
            <w:top w:val="none" w:sz="0" w:space="0" w:color="auto"/>
            <w:left w:val="none" w:sz="0" w:space="0" w:color="auto"/>
            <w:bottom w:val="none" w:sz="0" w:space="0" w:color="auto"/>
            <w:right w:val="none" w:sz="0" w:space="0" w:color="auto"/>
          </w:divBdr>
        </w:div>
        <w:div w:id="1504588455">
          <w:marLeft w:val="0"/>
          <w:marRight w:val="0"/>
          <w:marTop w:val="0"/>
          <w:marBottom w:val="0"/>
          <w:divBdr>
            <w:top w:val="none" w:sz="0" w:space="0" w:color="auto"/>
            <w:left w:val="none" w:sz="0" w:space="0" w:color="auto"/>
            <w:bottom w:val="none" w:sz="0" w:space="0" w:color="auto"/>
            <w:right w:val="none" w:sz="0" w:space="0" w:color="auto"/>
          </w:divBdr>
        </w:div>
        <w:div w:id="1272591240">
          <w:marLeft w:val="0"/>
          <w:marRight w:val="0"/>
          <w:marTop w:val="0"/>
          <w:marBottom w:val="0"/>
          <w:divBdr>
            <w:top w:val="none" w:sz="0" w:space="0" w:color="auto"/>
            <w:left w:val="none" w:sz="0" w:space="0" w:color="auto"/>
            <w:bottom w:val="none" w:sz="0" w:space="0" w:color="auto"/>
            <w:right w:val="none" w:sz="0" w:space="0" w:color="auto"/>
          </w:divBdr>
        </w:div>
        <w:div w:id="281038926">
          <w:marLeft w:val="0"/>
          <w:marRight w:val="0"/>
          <w:marTop w:val="0"/>
          <w:marBottom w:val="0"/>
          <w:divBdr>
            <w:top w:val="none" w:sz="0" w:space="0" w:color="auto"/>
            <w:left w:val="none" w:sz="0" w:space="0" w:color="auto"/>
            <w:bottom w:val="none" w:sz="0" w:space="0" w:color="auto"/>
            <w:right w:val="none" w:sz="0" w:space="0" w:color="auto"/>
          </w:divBdr>
        </w:div>
        <w:div w:id="1458142886">
          <w:marLeft w:val="0"/>
          <w:marRight w:val="0"/>
          <w:marTop w:val="0"/>
          <w:marBottom w:val="0"/>
          <w:divBdr>
            <w:top w:val="none" w:sz="0" w:space="0" w:color="auto"/>
            <w:left w:val="none" w:sz="0" w:space="0" w:color="auto"/>
            <w:bottom w:val="none" w:sz="0" w:space="0" w:color="auto"/>
            <w:right w:val="none" w:sz="0" w:space="0" w:color="auto"/>
          </w:divBdr>
        </w:div>
        <w:div w:id="1708556125">
          <w:marLeft w:val="0"/>
          <w:marRight w:val="0"/>
          <w:marTop w:val="0"/>
          <w:marBottom w:val="0"/>
          <w:divBdr>
            <w:top w:val="none" w:sz="0" w:space="0" w:color="auto"/>
            <w:left w:val="none" w:sz="0" w:space="0" w:color="auto"/>
            <w:bottom w:val="none" w:sz="0" w:space="0" w:color="auto"/>
            <w:right w:val="none" w:sz="0" w:space="0" w:color="auto"/>
          </w:divBdr>
        </w:div>
        <w:div w:id="1272516887">
          <w:marLeft w:val="0"/>
          <w:marRight w:val="0"/>
          <w:marTop w:val="0"/>
          <w:marBottom w:val="0"/>
          <w:divBdr>
            <w:top w:val="none" w:sz="0" w:space="0" w:color="auto"/>
            <w:left w:val="none" w:sz="0" w:space="0" w:color="auto"/>
            <w:bottom w:val="none" w:sz="0" w:space="0" w:color="auto"/>
            <w:right w:val="none" w:sz="0" w:space="0" w:color="auto"/>
          </w:divBdr>
        </w:div>
        <w:div w:id="598291839">
          <w:marLeft w:val="0"/>
          <w:marRight w:val="0"/>
          <w:marTop w:val="0"/>
          <w:marBottom w:val="0"/>
          <w:divBdr>
            <w:top w:val="none" w:sz="0" w:space="0" w:color="auto"/>
            <w:left w:val="none" w:sz="0" w:space="0" w:color="auto"/>
            <w:bottom w:val="none" w:sz="0" w:space="0" w:color="auto"/>
            <w:right w:val="none" w:sz="0" w:space="0" w:color="auto"/>
          </w:divBdr>
        </w:div>
        <w:div w:id="1672101014">
          <w:marLeft w:val="0"/>
          <w:marRight w:val="0"/>
          <w:marTop w:val="0"/>
          <w:marBottom w:val="0"/>
          <w:divBdr>
            <w:top w:val="none" w:sz="0" w:space="0" w:color="auto"/>
            <w:left w:val="none" w:sz="0" w:space="0" w:color="auto"/>
            <w:bottom w:val="none" w:sz="0" w:space="0" w:color="auto"/>
            <w:right w:val="none" w:sz="0" w:space="0" w:color="auto"/>
          </w:divBdr>
        </w:div>
        <w:div w:id="1685788262">
          <w:marLeft w:val="0"/>
          <w:marRight w:val="0"/>
          <w:marTop w:val="0"/>
          <w:marBottom w:val="0"/>
          <w:divBdr>
            <w:top w:val="none" w:sz="0" w:space="0" w:color="auto"/>
            <w:left w:val="none" w:sz="0" w:space="0" w:color="auto"/>
            <w:bottom w:val="none" w:sz="0" w:space="0" w:color="auto"/>
            <w:right w:val="none" w:sz="0" w:space="0" w:color="auto"/>
          </w:divBdr>
        </w:div>
        <w:div w:id="1156841906">
          <w:marLeft w:val="0"/>
          <w:marRight w:val="0"/>
          <w:marTop w:val="0"/>
          <w:marBottom w:val="0"/>
          <w:divBdr>
            <w:top w:val="none" w:sz="0" w:space="0" w:color="auto"/>
            <w:left w:val="none" w:sz="0" w:space="0" w:color="auto"/>
            <w:bottom w:val="none" w:sz="0" w:space="0" w:color="auto"/>
            <w:right w:val="none" w:sz="0" w:space="0" w:color="auto"/>
          </w:divBdr>
        </w:div>
        <w:div w:id="11763484">
          <w:marLeft w:val="0"/>
          <w:marRight w:val="0"/>
          <w:marTop w:val="0"/>
          <w:marBottom w:val="0"/>
          <w:divBdr>
            <w:top w:val="none" w:sz="0" w:space="0" w:color="auto"/>
            <w:left w:val="none" w:sz="0" w:space="0" w:color="auto"/>
            <w:bottom w:val="none" w:sz="0" w:space="0" w:color="auto"/>
            <w:right w:val="none" w:sz="0" w:space="0" w:color="auto"/>
          </w:divBdr>
        </w:div>
        <w:div w:id="1978224111">
          <w:marLeft w:val="0"/>
          <w:marRight w:val="0"/>
          <w:marTop w:val="0"/>
          <w:marBottom w:val="0"/>
          <w:divBdr>
            <w:top w:val="none" w:sz="0" w:space="0" w:color="auto"/>
            <w:left w:val="none" w:sz="0" w:space="0" w:color="auto"/>
            <w:bottom w:val="none" w:sz="0" w:space="0" w:color="auto"/>
            <w:right w:val="none" w:sz="0" w:space="0" w:color="auto"/>
          </w:divBdr>
        </w:div>
        <w:div w:id="1778669882">
          <w:marLeft w:val="0"/>
          <w:marRight w:val="0"/>
          <w:marTop w:val="0"/>
          <w:marBottom w:val="0"/>
          <w:divBdr>
            <w:top w:val="none" w:sz="0" w:space="0" w:color="auto"/>
            <w:left w:val="none" w:sz="0" w:space="0" w:color="auto"/>
            <w:bottom w:val="none" w:sz="0" w:space="0" w:color="auto"/>
            <w:right w:val="none" w:sz="0" w:space="0" w:color="auto"/>
          </w:divBdr>
        </w:div>
        <w:div w:id="968048696">
          <w:marLeft w:val="0"/>
          <w:marRight w:val="0"/>
          <w:marTop w:val="0"/>
          <w:marBottom w:val="0"/>
          <w:divBdr>
            <w:top w:val="none" w:sz="0" w:space="0" w:color="auto"/>
            <w:left w:val="none" w:sz="0" w:space="0" w:color="auto"/>
            <w:bottom w:val="none" w:sz="0" w:space="0" w:color="auto"/>
            <w:right w:val="none" w:sz="0" w:space="0" w:color="auto"/>
          </w:divBdr>
        </w:div>
        <w:div w:id="1120995799">
          <w:marLeft w:val="0"/>
          <w:marRight w:val="0"/>
          <w:marTop w:val="0"/>
          <w:marBottom w:val="0"/>
          <w:divBdr>
            <w:top w:val="none" w:sz="0" w:space="0" w:color="auto"/>
            <w:left w:val="none" w:sz="0" w:space="0" w:color="auto"/>
            <w:bottom w:val="none" w:sz="0" w:space="0" w:color="auto"/>
            <w:right w:val="none" w:sz="0" w:space="0" w:color="auto"/>
          </w:divBdr>
        </w:div>
        <w:div w:id="130103112">
          <w:marLeft w:val="0"/>
          <w:marRight w:val="0"/>
          <w:marTop w:val="0"/>
          <w:marBottom w:val="0"/>
          <w:divBdr>
            <w:top w:val="none" w:sz="0" w:space="0" w:color="auto"/>
            <w:left w:val="none" w:sz="0" w:space="0" w:color="auto"/>
            <w:bottom w:val="none" w:sz="0" w:space="0" w:color="auto"/>
            <w:right w:val="none" w:sz="0" w:space="0" w:color="auto"/>
          </w:divBdr>
        </w:div>
        <w:div w:id="1387097173">
          <w:marLeft w:val="0"/>
          <w:marRight w:val="0"/>
          <w:marTop w:val="0"/>
          <w:marBottom w:val="0"/>
          <w:divBdr>
            <w:top w:val="none" w:sz="0" w:space="0" w:color="auto"/>
            <w:left w:val="none" w:sz="0" w:space="0" w:color="auto"/>
            <w:bottom w:val="none" w:sz="0" w:space="0" w:color="auto"/>
            <w:right w:val="none" w:sz="0" w:space="0" w:color="auto"/>
          </w:divBdr>
        </w:div>
        <w:div w:id="508954904">
          <w:marLeft w:val="0"/>
          <w:marRight w:val="0"/>
          <w:marTop w:val="0"/>
          <w:marBottom w:val="0"/>
          <w:divBdr>
            <w:top w:val="none" w:sz="0" w:space="0" w:color="auto"/>
            <w:left w:val="none" w:sz="0" w:space="0" w:color="auto"/>
            <w:bottom w:val="none" w:sz="0" w:space="0" w:color="auto"/>
            <w:right w:val="none" w:sz="0" w:space="0" w:color="auto"/>
          </w:divBdr>
        </w:div>
        <w:div w:id="1804762081">
          <w:marLeft w:val="0"/>
          <w:marRight w:val="0"/>
          <w:marTop w:val="0"/>
          <w:marBottom w:val="0"/>
          <w:divBdr>
            <w:top w:val="none" w:sz="0" w:space="0" w:color="auto"/>
            <w:left w:val="none" w:sz="0" w:space="0" w:color="auto"/>
            <w:bottom w:val="none" w:sz="0" w:space="0" w:color="auto"/>
            <w:right w:val="none" w:sz="0" w:space="0" w:color="auto"/>
          </w:divBdr>
        </w:div>
        <w:div w:id="127089359">
          <w:marLeft w:val="0"/>
          <w:marRight w:val="0"/>
          <w:marTop w:val="0"/>
          <w:marBottom w:val="0"/>
          <w:divBdr>
            <w:top w:val="none" w:sz="0" w:space="0" w:color="auto"/>
            <w:left w:val="none" w:sz="0" w:space="0" w:color="auto"/>
            <w:bottom w:val="none" w:sz="0" w:space="0" w:color="auto"/>
            <w:right w:val="none" w:sz="0" w:space="0" w:color="auto"/>
          </w:divBdr>
        </w:div>
        <w:div w:id="1044598195">
          <w:marLeft w:val="0"/>
          <w:marRight w:val="0"/>
          <w:marTop w:val="0"/>
          <w:marBottom w:val="0"/>
          <w:divBdr>
            <w:top w:val="none" w:sz="0" w:space="0" w:color="auto"/>
            <w:left w:val="none" w:sz="0" w:space="0" w:color="auto"/>
            <w:bottom w:val="none" w:sz="0" w:space="0" w:color="auto"/>
            <w:right w:val="none" w:sz="0" w:space="0" w:color="auto"/>
          </w:divBdr>
        </w:div>
        <w:div w:id="1895775031">
          <w:marLeft w:val="0"/>
          <w:marRight w:val="0"/>
          <w:marTop w:val="0"/>
          <w:marBottom w:val="0"/>
          <w:divBdr>
            <w:top w:val="none" w:sz="0" w:space="0" w:color="auto"/>
            <w:left w:val="none" w:sz="0" w:space="0" w:color="auto"/>
            <w:bottom w:val="none" w:sz="0" w:space="0" w:color="auto"/>
            <w:right w:val="none" w:sz="0" w:space="0" w:color="auto"/>
          </w:divBdr>
        </w:div>
        <w:div w:id="1271205403">
          <w:marLeft w:val="0"/>
          <w:marRight w:val="0"/>
          <w:marTop w:val="0"/>
          <w:marBottom w:val="0"/>
          <w:divBdr>
            <w:top w:val="none" w:sz="0" w:space="0" w:color="auto"/>
            <w:left w:val="none" w:sz="0" w:space="0" w:color="auto"/>
            <w:bottom w:val="none" w:sz="0" w:space="0" w:color="auto"/>
            <w:right w:val="none" w:sz="0" w:space="0" w:color="auto"/>
          </w:divBdr>
        </w:div>
        <w:div w:id="856190041">
          <w:marLeft w:val="0"/>
          <w:marRight w:val="0"/>
          <w:marTop w:val="0"/>
          <w:marBottom w:val="0"/>
          <w:divBdr>
            <w:top w:val="none" w:sz="0" w:space="0" w:color="auto"/>
            <w:left w:val="none" w:sz="0" w:space="0" w:color="auto"/>
            <w:bottom w:val="none" w:sz="0" w:space="0" w:color="auto"/>
            <w:right w:val="none" w:sz="0" w:space="0" w:color="auto"/>
          </w:divBdr>
        </w:div>
        <w:div w:id="706490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437C71-BA84-423D-BE0F-87865DE25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12</Pages>
  <Words>5128</Words>
  <Characters>28204</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Fernando</cp:lastModifiedBy>
  <cp:revision>35</cp:revision>
  <dcterms:created xsi:type="dcterms:W3CDTF">2016-11-29T08:20:00Z</dcterms:created>
  <dcterms:modified xsi:type="dcterms:W3CDTF">2019-03-16T14:24:00Z</dcterms:modified>
</cp:coreProperties>
</file>